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17.180.99</w:t>
            </w:r>
            <w:r>
              <w:rPr>
                <w:rFonts w:ascii="黑体" w:hAnsi="黑体" w:eastAsia="黑体"/>
                <w:sz w:val="21"/>
                <w:szCs w:val="21"/>
              </w:rPr>
              <w:t>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N</w:t>
            </w:r>
            <w:r>
              <w:rPr>
                <w:rFonts w:hint="eastAsia" w:ascii="黑体" w:hAnsi="黑体" w:eastAsia="黑体"/>
                <w:sz w:val="21"/>
                <w:szCs w:val="21"/>
                <w:lang w:val="en-US" w:eastAsia="zh-CN"/>
              </w:rPr>
              <w:t>52</w:t>
            </w:r>
            <w:r>
              <w:rPr>
                <w:rFonts w:ascii="黑体" w:hAnsi="黑体" w:eastAsia="黑体"/>
                <w:sz w:val="21"/>
                <w:szCs w:val="21"/>
              </w:rPr>
              <w:fldChar w:fldCharType="end"/>
            </w:r>
            <w:bookmarkEnd w:id="2"/>
          </w:p>
        </w:tc>
      </w:tr>
    </w:tbl>
    <w:p>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     </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lang w:eastAsia="zh-CN"/>
        </w:rPr>
        <w:t xml:space="preserve"> </w:t>
      </w:r>
      <w:r>
        <w:rPr>
          <w:rFonts w:hint="eastAsia"/>
          <w:lang w:val="en-US" w:eastAsia="zh-CN"/>
        </w:rPr>
        <w:t xml:space="preserve"> </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hint="eastAsia" w:ascii="黑体" w:hAnsi="黑体" w:eastAsia="黑体"/>
          <w:b w:val="0"/>
          <w:bCs w:val="0"/>
          <w:w w:val="100"/>
        </w:rPr>
      </w:pPr>
    </w:p>
    <w:p>
      <w:pPr>
        <w:pStyle w:val="197"/>
        <w:framePr w:h="6974" w:hRule="exact" w:wrap="around" w:x="1419" w:anchorLock="1"/>
        <w:pBdr>
          <w:top w:val="none" w:color="auto" w:sz="0" w:space="0"/>
          <w:left w:val="none" w:color="auto" w:sz="0" w:space="0"/>
          <w:bottom w:val="none" w:color="auto" w:sz="0" w:space="0"/>
          <w:right w:val="none" w:color="auto" w:sz="0" w:space="0"/>
        </w:pBdr>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核</w:t>
      </w:r>
      <w:r>
        <w:rPr>
          <w:rFonts w:hint="eastAsia"/>
        </w:rPr>
        <w:t>电厂含硼水中锌浓度的</w:t>
      </w:r>
      <w:r>
        <w:rPr>
          <w:rFonts w:hint="eastAsia"/>
          <w:lang w:eastAsia="zh-CN"/>
        </w:rPr>
        <w:t>测</w:t>
      </w:r>
      <w:r>
        <w:rPr>
          <w:rFonts w:hint="eastAsia"/>
        </w:rPr>
        <w:t>定</w:t>
      </w:r>
    </w:p>
    <w:p>
      <w:pPr>
        <w:pStyle w:val="197"/>
        <w:framePr w:h="6974" w:hRule="exact" w:wrap="around" w:x="1419" w:anchorLock="1"/>
        <w:pBdr>
          <w:top w:val="none" w:color="auto" w:sz="0" w:space="0"/>
          <w:left w:val="none" w:color="auto" w:sz="0" w:space="0"/>
          <w:bottom w:val="none" w:color="auto" w:sz="0" w:space="0"/>
          <w:right w:val="none" w:color="auto" w:sz="0" w:space="0"/>
        </w:pBdr>
        <w:rPr>
          <w:rFonts w:hint="eastAsia"/>
        </w:rPr>
      </w:pPr>
      <w:r>
        <w:rPr>
          <w:rFonts w:hint="eastAsia"/>
        </w:rPr>
        <w:t>离子色谱法</w:t>
      </w:r>
    </w:p>
    <w:p>
      <w:pPr>
        <w:pStyle w:val="197"/>
        <w:framePr w:h="6974" w:hRule="exact" w:wrap="around" w:x="1419" w:anchorLock="1"/>
        <w:jc w:val="both"/>
        <w:rPr>
          <w:rFonts w:hint="eastAsia"/>
        </w:rPr>
      </w:pP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pBdr>
          <w:top w:val="none" w:color="auto" w:sz="0" w:space="0"/>
          <w:left w:val="none" w:color="auto" w:sz="0" w:space="0"/>
          <w:bottom w:val="none" w:color="auto" w:sz="0" w:space="0"/>
          <w:right w:val="none" w:color="auto" w:sz="0" w:space="0"/>
        </w:pBdr>
        <w:textAlignment w:val="bottom"/>
        <w:rPr>
          <w:rFonts w:hint="eastAsia"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 xml:space="preserve"> Determination of zinc concentration in boron water of nuclear power plant-</w:t>
      </w:r>
    </w:p>
    <w:p>
      <w:pPr>
        <w:pStyle w:val="125"/>
        <w:framePr w:w="9639" w:h="6974" w:hRule="exact" w:wrap="around" w:vAnchor="page" w:hAnchor="page" w:x="1419" w:y="6408" w:anchorLock="1"/>
        <w:pBdr>
          <w:top w:val="none" w:color="auto" w:sz="0" w:space="0"/>
          <w:left w:val="none" w:color="auto" w:sz="0" w:space="0"/>
          <w:bottom w:val="none" w:color="auto" w:sz="0" w:space="0"/>
          <w:right w:val="none" w:color="auto" w:sz="0" w:space="0"/>
        </w:pBdr>
        <w:textAlignment w:val="bottom"/>
        <w:rPr>
          <w:rFonts w:hint="eastAsia" w:eastAsia="黑体"/>
          <w:szCs w:val="28"/>
        </w:rPr>
      </w:pPr>
      <w:r>
        <w:rPr>
          <w:rFonts w:hint="eastAsia" w:eastAsia="黑体"/>
          <w:szCs w:val="28"/>
        </w:rPr>
        <w:t>Ion chromatography method</w:t>
      </w:r>
    </w:p>
    <w:p>
      <w:pPr>
        <w:pStyle w:val="125"/>
        <w:framePr w:w="9639" w:h="6974" w:hRule="exact" w:wrap="around" w:vAnchor="page" w:hAnchor="page" w:x="1419" w:y="6408" w:anchorLock="1"/>
        <w:textAlignment w:val="bottom"/>
        <w:rPr>
          <w:rFonts w:eastAsia="黑体"/>
          <w:szCs w:val="28"/>
        </w:rPr>
      </w:pP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bookmarkStart w:id="92" w:name="_GoBack"/>
      <w:bookmarkEnd w:id="92"/>
      <w:r>
        <w:rPr>
          <w:sz w:val="21"/>
          <w:szCs w:val="28"/>
        </w:rPr>
        <w:t>（本草案完成时间：</w:t>
      </w:r>
      <w:r>
        <w:rPr>
          <w:rFonts w:hint="eastAsia"/>
          <w:sz w:val="21"/>
          <w:szCs w:val="28"/>
          <w:lang w:val="en-US" w:eastAsia="zh-CN"/>
        </w:rPr>
        <w:t>2026.3.17</w:t>
      </w:r>
      <w:r>
        <w:rPr>
          <w:sz w:val="21"/>
          <w:szCs w:val="28"/>
        </w:rPr>
        <w:t>）</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中国核能行业协会</w:t>
      </w:r>
      <w:r>
        <w:rPr>
          <w:rFonts w:hAnsi="黑体"/>
          <w:w w:val="100"/>
          <w:sz w:val="28"/>
        </w:rPr>
        <w:t>     </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bidi w:val="0"/>
        <w:rPr>
          <w:rFonts w:hint="eastAsia"/>
          <w:lang w:eastAsia="zh-CN"/>
        </w:rPr>
      </w:pPr>
      <w:bookmarkStart w:id="21" w:name="BookMark1"/>
      <w:bookmarkStart w:id="22" w:name="_Toc17115"/>
      <w:r>
        <w:rPr>
          <w:rFonts w:hint="eastAsia"/>
          <w:spacing w:val="320"/>
          <w:lang w:eastAsia="zh-CN"/>
        </w:rPr>
        <w:t>目</w:t>
      </w:r>
      <w:r>
        <w:rPr>
          <w:rFonts w:hint="eastAsia"/>
          <w:lang w:eastAsia="zh-CN"/>
        </w:rPr>
        <w:t>次</w:t>
      </w:r>
    </w:p>
    <w:p>
      <w:pPr>
        <w:pStyle w:val="19"/>
        <w:tabs>
          <w:tab w:val="right" w:leader="dot" w:pos="9354"/>
        </w:tabs>
      </w:pPr>
      <w:r>
        <w:rPr>
          <w:rFonts w:hint="eastAsia"/>
          <w:spacing w:val="0"/>
          <w:lang w:eastAsia="zh-CN"/>
        </w:rPr>
        <w:fldChar w:fldCharType="begin"/>
      </w:r>
      <w:r>
        <w:rPr>
          <w:rFonts w:hint="eastAsia"/>
          <w:spacing w:val="0"/>
          <w:lang w:eastAsia="zh-CN"/>
        </w:rPr>
        <w:instrText xml:space="preserve">TOC \o "1-1" \h</w:instrText>
      </w:r>
      <w:r>
        <w:rPr>
          <w:rFonts w:hint="eastAsia"/>
          <w:spacing w:val="0"/>
          <w:lang w:eastAsia="zh-CN"/>
        </w:rPr>
        <w:fldChar w:fldCharType="separate"/>
      </w:r>
      <w:r>
        <w:rPr>
          <w:rFonts w:hint="eastAsia"/>
          <w:spacing w:val="0"/>
          <w:lang w:eastAsia="zh-CN"/>
        </w:rPr>
        <w:fldChar w:fldCharType="begin"/>
      </w:r>
      <w:r>
        <w:rPr>
          <w:rFonts w:hint="eastAsia"/>
          <w:spacing w:val="0"/>
          <w:lang w:eastAsia="zh-CN"/>
        </w:rPr>
        <w:instrText xml:space="preserve"> HYPERLINK \l _Toc30659 </w:instrText>
      </w:r>
      <w:r>
        <w:rPr>
          <w:rFonts w:hint="eastAsia"/>
          <w:spacing w:val="0"/>
          <w:lang w:eastAsia="zh-CN"/>
        </w:rPr>
        <w:fldChar w:fldCharType="separate"/>
      </w:r>
      <w:r>
        <w:rPr>
          <w:rFonts w:hint="eastAsia"/>
          <w:spacing w:val="320"/>
          <w:lang w:eastAsia="zh-CN"/>
        </w:rPr>
        <w:t>前</w:t>
      </w:r>
      <w:r>
        <w:rPr>
          <w:rFonts w:hint="eastAsia"/>
          <w:lang w:eastAsia="zh-CN"/>
        </w:rPr>
        <w:t>言</w:t>
      </w:r>
      <w:r>
        <w:tab/>
      </w:r>
      <w:r>
        <w:fldChar w:fldCharType="begin"/>
      </w:r>
      <w:r>
        <w:instrText xml:space="preserve"> PAGEREF _Toc30659 \h </w:instrText>
      </w:r>
      <w:r>
        <w:fldChar w:fldCharType="separate"/>
      </w:r>
      <w:r>
        <w:t>II</w:t>
      </w:r>
      <w:r>
        <w:fldChar w:fldCharType="end"/>
      </w:r>
      <w:r>
        <w:rPr>
          <w:rFonts w:hint="eastAsia"/>
          <w:spacing w:val="0"/>
          <w:lang w:eastAsia="zh-CN"/>
        </w:rPr>
        <w:fldChar w:fldCharType="end"/>
      </w:r>
    </w:p>
    <w:p>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_Toc8194 </w:instrText>
      </w:r>
      <w:r>
        <w:rPr>
          <w:rFonts w:hint="eastAsia"/>
          <w:spacing w:val="0"/>
          <w:lang w:eastAsia="zh-CN"/>
        </w:rPr>
        <w:fldChar w:fldCharType="separate"/>
      </w:r>
      <w:r>
        <w:rPr>
          <w:rFonts w:hint="eastAsia" w:ascii="黑体" w:eastAsia="黑体"/>
          <w:i w:val="0"/>
        </w:rPr>
        <w:t xml:space="preserve">1 </w:t>
      </w:r>
      <w:r>
        <w:rPr>
          <w:rFonts w:hint="eastAsia"/>
        </w:rPr>
        <w:t>范围</w:t>
      </w:r>
      <w:r>
        <w:tab/>
      </w:r>
      <w:r>
        <w:fldChar w:fldCharType="begin"/>
      </w:r>
      <w:r>
        <w:instrText xml:space="preserve"> PAGEREF _Toc8194 \h </w:instrText>
      </w:r>
      <w:r>
        <w:fldChar w:fldCharType="separate"/>
      </w:r>
      <w:r>
        <w:t>1</w:t>
      </w:r>
      <w:r>
        <w:fldChar w:fldCharType="end"/>
      </w:r>
      <w:r>
        <w:rPr>
          <w:rFonts w:hint="eastAsia"/>
          <w:spacing w:val="0"/>
          <w:lang w:eastAsia="zh-CN"/>
        </w:rPr>
        <w:fldChar w:fldCharType="end"/>
      </w:r>
    </w:p>
    <w:p>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_Toc21374 </w:instrText>
      </w:r>
      <w:r>
        <w:rPr>
          <w:rFonts w:hint="eastAsia"/>
          <w:spacing w:val="0"/>
          <w:lang w:eastAsia="zh-CN"/>
        </w:rP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_Toc21374 \h </w:instrText>
      </w:r>
      <w:r>
        <w:fldChar w:fldCharType="separate"/>
      </w:r>
      <w:r>
        <w:t>1</w:t>
      </w:r>
      <w:r>
        <w:fldChar w:fldCharType="end"/>
      </w:r>
      <w:r>
        <w:rPr>
          <w:rFonts w:hint="eastAsia"/>
          <w:spacing w:val="0"/>
          <w:lang w:eastAsia="zh-CN"/>
        </w:rPr>
        <w:fldChar w:fldCharType="end"/>
      </w:r>
    </w:p>
    <w:p>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_Toc29970 </w:instrText>
      </w:r>
      <w:r>
        <w:rPr>
          <w:rFonts w:hint="eastAsia"/>
          <w:spacing w:val="0"/>
          <w:lang w:eastAsia="zh-CN"/>
        </w:rP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_Toc29970 \h </w:instrText>
      </w:r>
      <w:r>
        <w:fldChar w:fldCharType="separate"/>
      </w:r>
      <w:r>
        <w:t>1</w:t>
      </w:r>
      <w:r>
        <w:fldChar w:fldCharType="end"/>
      </w:r>
      <w:r>
        <w:rPr>
          <w:rFonts w:hint="eastAsia"/>
          <w:spacing w:val="0"/>
          <w:lang w:eastAsia="zh-CN"/>
        </w:rPr>
        <w:fldChar w:fldCharType="end"/>
      </w:r>
    </w:p>
    <w:p>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_Toc23089 </w:instrText>
      </w:r>
      <w:r>
        <w:rPr>
          <w:rFonts w:hint="eastAsia"/>
          <w:spacing w:val="0"/>
          <w:lang w:eastAsia="zh-CN"/>
        </w:rPr>
        <w:fldChar w:fldCharType="separate"/>
      </w:r>
      <w:r>
        <w:rPr>
          <w:rFonts w:hint="eastAsia" w:ascii="黑体" w:eastAsia="黑体"/>
          <w:i w:val="0"/>
          <w:lang w:eastAsia="zh-CN"/>
        </w:rPr>
        <w:t xml:space="preserve">4 </w:t>
      </w:r>
      <w:r>
        <w:rPr>
          <w:rFonts w:hint="eastAsia"/>
          <w:lang w:val="en-US" w:eastAsia="zh-CN"/>
        </w:rPr>
        <w:t>原理</w:t>
      </w:r>
      <w:r>
        <w:tab/>
      </w:r>
      <w:r>
        <w:fldChar w:fldCharType="begin"/>
      </w:r>
      <w:r>
        <w:instrText xml:space="preserve"> PAGEREF _Toc23089 \h </w:instrText>
      </w:r>
      <w:r>
        <w:fldChar w:fldCharType="separate"/>
      </w:r>
      <w:r>
        <w:t>2</w:t>
      </w:r>
      <w:r>
        <w:fldChar w:fldCharType="end"/>
      </w:r>
      <w:r>
        <w:rPr>
          <w:rFonts w:hint="eastAsia"/>
          <w:spacing w:val="0"/>
          <w:lang w:eastAsia="zh-CN"/>
        </w:rPr>
        <w:fldChar w:fldCharType="end"/>
      </w:r>
    </w:p>
    <w:p>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_Toc4977 </w:instrText>
      </w:r>
      <w:r>
        <w:rPr>
          <w:rFonts w:hint="eastAsia"/>
          <w:spacing w:val="0"/>
          <w:lang w:eastAsia="zh-CN"/>
        </w:rPr>
        <w:fldChar w:fldCharType="separate"/>
      </w:r>
      <w:r>
        <w:rPr>
          <w:rFonts w:hint="eastAsia" w:ascii="黑体" w:eastAsia="黑体"/>
          <w:i w:val="0"/>
          <w:lang w:eastAsia="zh-CN"/>
        </w:rPr>
        <w:t xml:space="preserve">5 </w:t>
      </w:r>
      <w:r>
        <w:rPr>
          <w:rFonts w:hint="eastAsia"/>
          <w:lang w:val="en-US" w:eastAsia="zh-CN"/>
        </w:rPr>
        <w:t>试剂和材料</w:t>
      </w:r>
      <w:r>
        <w:tab/>
      </w:r>
      <w:r>
        <w:fldChar w:fldCharType="begin"/>
      </w:r>
      <w:r>
        <w:instrText xml:space="preserve"> PAGEREF _Toc4977 \h </w:instrText>
      </w:r>
      <w:r>
        <w:fldChar w:fldCharType="separate"/>
      </w:r>
      <w:r>
        <w:t>2</w:t>
      </w:r>
      <w:r>
        <w:fldChar w:fldCharType="end"/>
      </w:r>
      <w:r>
        <w:rPr>
          <w:rFonts w:hint="eastAsia"/>
          <w:spacing w:val="0"/>
          <w:lang w:eastAsia="zh-CN"/>
        </w:rPr>
        <w:fldChar w:fldCharType="end"/>
      </w:r>
    </w:p>
    <w:p>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_Toc6987 </w:instrText>
      </w:r>
      <w:r>
        <w:rPr>
          <w:rFonts w:hint="eastAsia"/>
          <w:spacing w:val="0"/>
          <w:lang w:eastAsia="zh-CN"/>
        </w:rPr>
        <w:fldChar w:fldCharType="separate"/>
      </w:r>
      <w:r>
        <w:rPr>
          <w:rFonts w:hint="eastAsia" w:ascii="黑体" w:eastAsia="黑体"/>
          <w:i w:val="0"/>
          <w:lang w:eastAsia="zh-CN"/>
        </w:rPr>
        <w:t xml:space="preserve">6 </w:t>
      </w:r>
      <w:r>
        <w:rPr>
          <w:rFonts w:hint="eastAsia"/>
          <w:lang w:val="en-US" w:eastAsia="zh-CN"/>
        </w:rPr>
        <w:t>仪器设备</w:t>
      </w:r>
      <w:r>
        <w:tab/>
      </w:r>
      <w:r>
        <w:fldChar w:fldCharType="begin"/>
      </w:r>
      <w:r>
        <w:instrText xml:space="preserve"> PAGEREF _Toc6987 \h </w:instrText>
      </w:r>
      <w:r>
        <w:fldChar w:fldCharType="separate"/>
      </w:r>
      <w:r>
        <w:t>2</w:t>
      </w:r>
      <w:r>
        <w:fldChar w:fldCharType="end"/>
      </w:r>
      <w:r>
        <w:rPr>
          <w:rFonts w:hint="eastAsia"/>
          <w:spacing w:val="0"/>
          <w:lang w:eastAsia="zh-CN"/>
        </w:rPr>
        <w:fldChar w:fldCharType="end"/>
      </w:r>
    </w:p>
    <w:p>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_Toc24733 </w:instrText>
      </w:r>
      <w:r>
        <w:rPr>
          <w:rFonts w:hint="eastAsia"/>
          <w:spacing w:val="0"/>
          <w:lang w:eastAsia="zh-CN"/>
        </w:rPr>
        <w:fldChar w:fldCharType="separate"/>
      </w:r>
      <w:r>
        <w:rPr>
          <w:rFonts w:hint="eastAsia" w:ascii="黑体" w:eastAsia="黑体"/>
          <w:i w:val="0"/>
          <w:lang w:eastAsia="zh-CN"/>
        </w:rPr>
        <w:t xml:space="preserve">7 </w:t>
      </w:r>
      <w:r>
        <w:rPr>
          <w:rFonts w:hint="eastAsia"/>
          <w:lang w:val="en-US" w:eastAsia="zh-CN"/>
        </w:rPr>
        <w:t>样品</w:t>
      </w:r>
      <w:r>
        <w:tab/>
      </w:r>
      <w:r>
        <w:fldChar w:fldCharType="begin"/>
      </w:r>
      <w:r>
        <w:instrText xml:space="preserve"> PAGEREF _Toc24733 \h </w:instrText>
      </w:r>
      <w:r>
        <w:fldChar w:fldCharType="separate"/>
      </w:r>
      <w:r>
        <w:t>2</w:t>
      </w:r>
      <w:r>
        <w:fldChar w:fldCharType="end"/>
      </w:r>
      <w:r>
        <w:rPr>
          <w:rFonts w:hint="eastAsia"/>
          <w:spacing w:val="0"/>
          <w:lang w:eastAsia="zh-CN"/>
        </w:rPr>
        <w:fldChar w:fldCharType="end"/>
      </w:r>
    </w:p>
    <w:p>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_Toc21234 </w:instrText>
      </w:r>
      <w:r>
        <w:rPr>
          <w:rFonts w:hint="eastAsia"/>
          <w:spacing w:val="0"/>
          <w:lang w:eastAsia="zh-CN"/>
        </w:rPr>
        <w:fldChar w:fldCharType="separate"/>
      </w:r>
      <w:r>
        <w:rPr>
          <w:rFonts w:hint="eastAsia" w:ascii="黑体" w:eastAsia="黑体"/>
          <w:i w:val="0"/>
          <w:lang w:eastAsia="zh-CN"/>
        </w:rPr>
        <w:t xml:space="preserve">8 </w:t>
      </w:r>
      <w:r>
        <w:rPr>
          <w:rFonts w:hint="eastAsia"/>
          <w:lang w:val="en-US" w:eastAsia="zh-CN"/>
        </w:rPr>
        <w:t>试验步骤</w:t>
      </w:r>
      <w:r>
        <w:tab/>
      </w:r>
      <w:r>
        <w:fldChar w:fldCharType="begin"/>
      </w:r>
      <w:r>
        <w:instrText xml:space="preserve"> PAGEREF _Toc21234 \h </w:instrText>
      </w:r>
      <w:r>
        <w:fldChar w:fldCharType="separate"/>
      </w:r>
      <w:r>
        <w:t>2</w:t>
      </w:r>
      <w:r>
        <w:fldChar w:fldCharType="end"/>
      </w:r>
      <w:r>
        <w:rPr>
          <w:rFonts w:hint="eastAsia"/>
          <w:spacing w:val="0"/>
          <w:lang w:eastAsia="zh-CN"/>
        </w:rPr>
        <w:fldChar w:fldCharType="end"/>
      </w:r>
    </w:p>
    <w:p>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_Toc27200 </w:instrText>
      </w:r>
      <w:r>
        <w:rPr>
          <w:rFonts w:hint="eastAsia"/>
          <w:spacing w:val="0"/>
          <w:lang w:eastAsia="zh-CN"/>
        </w:rPr>
        <w:fldChar w:fldCharType="separate"/>
      </w:r>
      <w:r>
        <w:rPr>
          <w:rFonts w:hint="eastAsia" w:ascii="黑体" w:eastAsia="黑体"/>
          <w:i w:val="0"/>
          <w:lang w:val="en-US"/>
        </w:rPr>
        <w:t xml:space="preserve">9 </w:t>
      </w:r>
      <w:r>
        <w:rPr>
          <w:rFonts w:hint="eastAsia"/>
          <w:lang w:val="en-US" w:eastAsia="zh-CN"/>
        </w:rPr>
        <w:t>试验数据处理</w:t>
      </w:r>
      <w:r>
        <w:tab/>
      </w:r>
      <w:r>
        <w:fldChar w:fldCharType="begin"/>
      </w:r>
      <w:r>
        <w:instrText xml:space="preserve"> PAGEREF _Toc27200 \h </w:instrText>
      </w:r>
      <w:r>
        <w:fldChar w:fldCharType="separate"/>
      </w:r>
      <w:r>
        <w:t>3</w:t>
      </w:r>
      <w:r>
        <w:fldChar w:fldCharType="end"/>
      </w:r>
      <w:r>
        <w:rPr>
          <w:rFonts w:hint="eastAsia"/>
          <w:spacing w:val="0"/>
          <w:lang w:eastAsia="zh-CN"/>
        </w:rPr>
        <w:fldChar w:fldCharType="end"/>
      </w:r>
    </w:p>
    <w:p>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_Toc31198 </w:instrText>
      </w:r>
      <w:r>
        <w:rPr>
          <w:rFonts w:hint="eastAsia"/>
          <w:spacing w:val="0"/>
          <w:lang w:eastAsia="zh-CN"/>
        </w:rPr>
        <w:fldChar w:fldCharType="separate"/>
      </w:r>
      <w:r>
        <w:rPr>
          <w:rFonts w:hint="eastAsia" w:ascii="黑体" w:eastAsia="黑体"/>
          <w:i w:val="0"/>
        </w:rPr>
        <w:t xml:space="preserve">10 </w:t>
      </w:r>
      <w:r>
        <w:rPr>
          <w:rFonts w:hint="eastAsia"/>
        </w:rPr>
        <w:t>精密</w:t>
      </w:r>
      <w:r>
        <w:rPr>
          <w:rFonts w:hint="eastAsia"/>
          <w:lang w:val="en-US" w:eastAsia="zh-CN"/>
        </w:rPr>
        <w:t>度</w:t>
      </w:r>
      <w:r>
        <w:tab/>
      </w:r>
      <w:r>
        <w:fldChar w:fldCharType="begin"/>
      </w:r>
      <w:r>
        <w:instrText xml:space="preserve"> PAGEREF _Toc31198 \h </w:instrText>
      </w:r>
      <w:r>
        <w:fldChar w:fldCharType="separate"/>
      </w:r>
      <w:r>
        <w:t>3</w:t>
      </w:r>
      <w:r>
        <w:fldChar w:fldCharType="end"/>
      </w:r>
      <w:r>
        <w:rPr>
          <w:rFonts w:hint="eastAsia"/>
          <w:spacing w:val="0"/>
          <w:lang w:eastAsia="zh-CN"/>
        </w:rPr>
        <w:fldChar w:fldCharType="end"/>
      </w:r>
    </w:p>
    <w:p>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_Toc10525 </w:instrText>
      </w:r>
      <w:r>
        <w:rPr>
          <w:rFonts w:hint="eastAsia"/>
          <w:spacing w:val="0"/>
          <w:lang w:eastAsia="zh-CN"/>
        </w:rPr>
        <w:fldChar w:fldCharType="separate"/>
      </w:r>
      <w:r>
        <w:rPr>
          <w:rFonts w:hint="eastAsia" w:ascii="黑体" w:eastAsia="黑体"/>
          <w:i w:val="0"/>
          <w:lang w:val="en-US" w:eastAsia="zh-CN"/>
        </w:rPr>
        <w:t xml:space="preserve">11 </w:t>
      </w:r>
      <w:r>
        <w:rPr>
          <w:rFonts w:hint="eastAsia"/>
        </w:rPr>
        <w:t>质量保证和</w:t>
      </w:r>
      <w:r>
        <w:rPr>
          <w:rFonts w:hint="eastAsia"/>
          <w:lang w:val="en-US" w:eastAsia="zh-CN"/>
        </w:rPr>
        <w:t>控制</w:t>
      </w:r>
      <w:r>
        <w:tab/>
      </w:r>
      <w:r>
        <w:fldChar w:fldCharType="begin"/>
      </w:r>
      <w:r>
        <w:instrText xml:space="preserve"> PAGEREF _Toc10525 \h </w:instrText>
      </w:r>
      <w:r>
        <w:fldChar w:fldCharType="separate"/>
      </w:r>
      <w:r>
        <w:t>3</w:t>
      </w:r>
      <w:r>
        <w:fldChar w:fldCharType="end"/>
      </w:r>
      <w:r>
        <w:rPr>
          <w:rFonts w:hint="eastAsia"/>
          <w:spacing w:val="0"/>
          <w:lang w:eastAsia="zh-CN"/>
        </w:rPr>
        <w:fldChar w:fldCharType="end"/>
      </w:r>
    </w:p>
    <w:p>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_Toc9480 </w:instrText>
      </w:r>
      <w:r>
        <w:rPr>
          <w:rFonts w:hint="eastAsia"/>
          <w:spacing w:val="0"/>
          <w:lang w:eastAsia="zh-CN"/>
        </w:rPr>
        <w:fldChar w:fldCharType="separate"/>
      </w:r>
      <w:r>
        <w:rPr>
          <w:rFonts w:hint="eastAsia" w:ascii="黑体" w:eastAsia="黑体"/>
          <w:i w:val="0"/>
        </w:rPr>
        <w:t xml:space="preserve">12 </w:t>
      </w:r>
      <w:r>
        <w:rPr>
          <w:rFonts w:hint="eastAsia" w:ascii="Arial" w:hAnsi="Arial" w:cs="Arial"/>
          <w:lang w:val="en-US" w:eastAsia="zh-CN"/>
        </w:rPr>
        <w:t>试验报告</w:t>
      </w:r>
      <w:r>
        <w:tab/>
      </w:r>
      <w:r>
        <w:fldChar w:fldCharType="begin"/>
      </w:r>
      <w:r>
        <w:instrText xml:space="preserve"> PAGEREF _Toc9480 \h </w:instrText>
      </w:r>
      <w:r>
        <w:fldChar w:fldCharType="separate"/>
      </w:r>
      <w:r>
        <w:t>3</w:t>
      </w:r>
      <w:r>
        <w:fldChar w:fldCharType="end"/>
      </w:r>
      <w:r>
        <w:rPr>
          <w:rFonts w:hint="eastAsia"/>
          <w:spacing w:val="0"/>
          <w:lang w:eastAsia="zh-CN"/>
        </w:rPr>
        <w:fldChar w:fldCharType="end"/>
      </w:r>
    </w:p>
    <w:p>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_Toc26753 </w:instrText>
      </w:r>
      <w:r>
        <w:rPr>
          <w:rFonts w:hint="eastAsia"/>
          <w:spacing w:val="0"/>
          <w:lang w:eastAsia="zh-CN"/>
        </w:rPr>
        <w:fldChar w:fldCharType="separate"/>
      </w:r>
      <w:r>
        <w:rPr>
          <w:rFonts w:hint="eastAsia"/>
          <w:spacing w:val="100"/>
        </w:rPr>
        <w:t xml:space="preserve">附录A </w:t>
      </w:r>
      <w:r>
        <w:t xml:space="preserve"> </w:t>
      </w:r>
      <w:r>
        <w:rPr>
          <w:rFonts w:hint="eastAsia"/>
          <w:lang w:eastAsia="zh-CN"/>
        </w:rPr>
        <w:t>（规范性） 含硼水中锌浓度测定的参考离子色谱条件</w:t>
      </w:r>
      <w:r>
        <w:tab/>
      </w:r>
      <w:r>
        <w:fldChar w:fldCharType="begin"/>
      </w:r>
      <w:r>
        <w:instrText xml:space="preserve"> PAGEREF _Toc26753 \h </w:instrText>
      </w:r>
      <w:r>
        <w:fldChar w:fldCharType="separate"/>
      </w:r>
      <w:r>
        <w:t>4</w:t>
      </w:r>
      <w:r>
        <w:fldChar w:fldCharType="end"/>
      </w:r>
      <w:r>
        <w:rPr>
          <w:rFonts w:hint="eastAsia"/>
          <w:spacing w:val="0"/>
          <w:lang w:eastAsia="zh-CN"/>
        </w:rPr>
        <w:fldChar w:fldCharType="end"/>
      </w:r>
    </w:p>
    <w:p>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_Toc15319 </w:instrText>
      </w:r>
      <w:r>
        <w:rPr>
          <w:rFonts w:hint="eastAsia"/>
          <w:spacing w:val="0"/>
          <w:lang w:eastAsia="zh-CN"/>
        </w:rPr>
        <w:fldChar w:fldCharType="separate"/>
      </w:r>
      <w:r>
        <w:rPr>
          <w:rFonts w:hint="eastAsia"/>
          <w:spacing w:val="100"/>
        </w:rPr>
        <w:t xml:space="preserve">附录B </w:t>
      </w:r>
      <w:r>
        <w:t xml:space="preserve"> </w:t>
      </w:r>
      <w:r>
        <w:rPr>
          <w:rFonts w:hint="eastAsia"/>
          <w:lang w:eastAsia="zh-CN"/>
        </w:rPr>
        <w:t>（资料性） 含硼水中锌浓度测定的参考离子色谱图</w:t>
      </w:r>
      <w:r>
        <w:tab/>
      </w:r>
      <w:r>
        <w:fldChar w:fldCharType="begin"/>
      </w:r>
      <w:r>
        <w:instrText xml:space="preserve"> PAGEREF _Toc15319 \h </w:instrText>
      </w:r>
      <w:r>
        <w:fldChar w:fldCharType="separate"/>
      </w:r>
      <w:r>
        <w:t>5</w:t>
      </w:r>
      <w:r>
        <w:fldChar w:fldCharType="end"/>
      </w:r>
      <w:r>
        <w:rPr>
          <w:rFonts w:hint="eastAsia"/>
          <w:spacing w:val="0"/>
          <w:lang w:eastAsia="zh-CN"/>
        </w:rPr>
        <w:fldChar w:fldCharType="end"/>
      </w:r>
    </w:p>
    <w:p>
      <w:pPr>
        <w:pStyle w:val="19"/>
        <w:tabs>
          <w:tab w:val="right" w:leader="dot" w:pos="9354"/>
        </w:tabs>
      </w:pPr>
      <w:r>
        <w:rPr>
          <w:rFonts w:hint="eastAsia"/>
          <w:spacing w:val="0"/>
          <w:lang w:eastAsia="zh-CN"/>
        </w:rPr>
        <w:fldChar w:fldCharType="begin"/>
      </w:r>
      <w:r>
        <w:rPr>
          <w:rFonts w:hint="eastAsia"/>
          <w:spacing w:val="0"/>
          <w:lang w:eastAsia="zh-CN"/>
        </w:rPr>
        <w:instrText xml:space="preserve"> HYPERLINK \l _Toc24129 </w:instrText>
      </w:r>
      <w:r>
        <w:rPr>
          <w:rFonts w:hint="eastAsia"/>
          <w:spacing w:val="0"/>
          <w:lang w:eastAsia="zh-CN"/>
        </w:rPr>
        <w:fldChar w:fldCharType="separate"/>
      </w:r>
      <w:r>
        <w:rPr>
          <w:rFonts w:hint="eastAsia"/>
          <w:spacing w:val="105"/>
          <w:lang w:eastAsia="zh-CN"/>
        </w:rPr>
        <w:t>参考文</w:t>
      </w:r>
      <w:r>
        <w:rPr>
          <w:rFonts w:hint="eastAsia"/>
          <w:lang w:eastAsia="zh-CN"/>
        </w:rPr>
        <w:t>献</w:t>
      </w:r>
      <w:r>
        <w:tab/>
      </w:r>
      <w:r>
        <w:fldChar w:fldCharType="begin"/>
      </w:r>
      <w:r>
        <w:instrText xml:space="preserve"> PAGEREF _Toc24129 \h </w:instrText>
      </w:r>
      <w:r>
        <w:fldChar w:fldCharType="separate"/>
      </w:r>
      <w:r>
        <w:t>6</w:t>
      </w:r>
      <w:r>
        <w:fldChar w:fldCharType="end"/>
      </w:r>
      <w:r>
        <w:rPr>
          <w:rFonts w:hint="eastAsia"/>
          <w:spacing w:val="0"/>
          <w:lang w:eastAsia="zh-CN"/>
        </w:rPr>
        <w:fldChar w:fldCharType="end"/>
      </w:r>
    </w:p>
    <w:p>
      <w:pPr>
        <w:pStyle w:val="91"/>
        <w:bidi w:val="0"/>
        <w:rPr>
          <w:rFonts w:hint="eastAsia"/>
          <w:spacing w:val="0"/>
          <w:lang w:eastAsia="zh-CN"/>
        </w:rPr>
        <w:sectPr>
          <w:headerReference r:id="rId9" w:type="default"/>
          <w:footerReference r:id="rId10" w:type="default"/>
          <w:pgSz w:w="11906" w:h="16838"/>
          <w:pgMar w:top="1928" w:right="1134" w:bottom="1134" w:left="1134" w:header="1418" w:footer="1134" w:gutter="284"/>
          <w:pgNumType w:fmt="upperRoman" w:start="1"/>
          <w:cols w:space="425" w:num="1"/>
          <w:formProt w:val="0"/>
          <w:docGrid w:linePitch="312" w:charSpace="0"/>
        </w:sectPr>
      </w:pPr>
      <w:r>
        <w:rPr>
          <w:rFonts w:hint="eastAsia"/>
          <w:spacing w:val="0"/>
          <w:lang w:eastAsia="zh-CN"/>
        </w:rPr>
        <w:fldChar w:fldCharType="end"/>
      </w:r>
    </w:p>
    <w:bookmarkEnd w:id="21"/>
    <w:p>
      <w:pPr>
        <w:pStyle w:val="89"/>
        <w:bidi w:val="0"/>
        <w:spacing w:before="560"/>
        <w:rPr>
          <w:rFonts w:hint="eastAsia"/>
          <w:lang w:eastAsia="zh-CN"/>
        </w:rPr>
      </w:pPr>
      <w:bookmarkStart w:id="23" w:name="_Toc30659"/>
      <w:bookmarkStart w:id="24" w:name="BookMark2"/>
      <w:r>
        <w:rPr>
          <w:rFonts w:hint="eastAsia"/>
          <w:spacing w:val="320"/>
          <w:lang w:eastAsia="zh-CN"/>
        </w:rPr>
        <w:t>前</w:t>
      </w:r>
      <w:r>
        <w:rPr>
          <w:rFonts w:hint="eastAsia"/>
          <w:lang w:eastAsia="zh-CN"/>
        </w:rPr>
        <w:t>言</w:t>
      </w:r>
      <w:bookmarkEnd w:id="22"/>
      <w:bookmarkEnd w:id="23"/>
    </w:p>
    <w:p>
      <w:pPr>
        <w:pStyle w:val="56"/>
        <w:bidi w:val="0"/>
        <w:rPr>
          <w:rFonts w:hint="eastAsia"/>
          <w:lang w:eastAsia="zh-CN"/>
        </w:rPr>
      </w:pPr>
      <w:r>
        <w:rPr>
          <w:rFonts w:hint="eastAsia"/>
          <w:lang w:eastAsia="zh-CN"/>
        </w:rPr>
        <w:t>本文件按照GB/T 1.1—2020《标准化工作导则  第1部分：标准化文件的结构和起草规则》的规定起草。</w:t>
      </w:r>
    </w:p>
    <w:p>
      <w:pPr>
        <w:pStyle w:val="56"/>
        <w:bidi w:val="0"/>
        <w:rPr>
          <w:rFonts w:hint="eastAsia"/>
          <w:lang w:eastAsia="zh-CN"/>
        </w:rPr>
      </w:pPr>
    </w:p>
    <w:p>
      <w:pPr>
        <w:pStyle w:val="230"/>
        <w:rPr>
          <w:rFonts w:hint="eastAsia" w:ascii="宋体" w:hAnsi="Times New Roman" w:eastAsia="宋体" w:cs="Times New Roman"/>
          <w:lang w:val="en-US" w:eastAsia="zh-CN"/>
        </w:rPr>
      </w:pPr>
      <w:r>
        <w:rPr>
          <w:rFonts w:hint="eastAsia"/>
        </w:rPr>
        <w:t>请注意本文件的某些内容可</w:t>
      </w:r>
      <w:r>
        <w:rPr>
          <w:rFonts w:hint="eastAsia" w:ascii="宋体" w:hAnsi="Times New Roman" w:eastAsia="宋体" w:cs="Times New Roman"/>
          <w:lang w:val="en-US" w:eastAsia="zh-CN"/>
        </w:rPr>
        <w:t>能涉及专利。本文件的发布机构不承担识别专利的责任。</w:t>
      </w:r>
    </w:p>
    <w:p>
      <w:pPr>
        <w:pStyle w:val="230"/>
        <w:rPr>
          <w:rFonts w:hint="eastAsia" w:ascii="宋体" w:hAnsi="Times New Roman" w:eastAsia="宋体" w:cs="Times New Roman"/>
          <w:lang w:val="en-US" w:eastAsia="zh-CN"/>
        </w:rPr>
      </w:pPr>
      <w:r>
        <w:rPr>
          <w:rFonts w:hint="eastAsia" w:cs="Times New Roman"/>
          <w:lang w:val="en-US" w:eastAsia="zh-CN"/>
        </w:rPr>
        <w:t>本文件由国家重点研发计划（National Key R&amp;D Program of China）资助，项目编号：2024YFF0725900。</w:t>
      </w:r>
    </w:p>
    <w:p>
      <w:pPr>
        <w:pStyle w:val="230"/>
        <w:rPr>
          <w:rFonts w:hint="eastAsia" w:ascii="宋体" w:hAnsi="Times New Roman" w:eastAsia="宋体" w:cs="Times New Roman"/>
          <w:lang w:val="en-US" w:eastAsia="zh-CN"/>
        </w:rPr>
      </w:pPr>
      <w:r>
        <w:rPr>
          <w:rFonts w:hint="eastAsia" w:ascii="宋体" w:hAnsi="Times New Roman" w:eastAsia="宋体" w:cs="Times New Roman"/>
          <w:lang w:val="en-US" w:eastAsia="zh-CN"/>
        </w:rPr>
        <w:t>本文件由中国核能行业协会提出并归口管理，技术支持单位为</w:t>
      </w:r>
      <w:r>
        <w:rPr>
          <w:rFonts w:hint="eastAsia"/>
        </w:rPr>
        <w:t>上海核工程研究设计院有限公司、核工业标准化研究所、苏州热工研究院有限公司</w:t>
      </w:r>
      <w:bookmarkStart w:id="25" w:name="_Hlk138820880"/>
      <w:r>
        <w:rPr>
          <w:rFonts w:hint="eastAsia"/>
        </w:rPr>
        <w:t>、华能核能技术研究院有限公司</w:t>
      </w:r>
      <w:bookmarkEnd w:id="25"/>
      <w:r>
        <w:rPr>
          <w:rFonts w:hint="eastAsia" w:ascii="宋体" w:hAnsi="Times New Roman" w:eastAsia="宋体" w:cs="Times New Roman"/>
          <w:lang w:val="en-US" w:eastAsia="zh-CN"/>
        </w:rPr>
        <w:t>。</w:t>
      </w:r>
    </w:p>
    <w:p>
      <w:pPr>
        <w:pStyle w:val="230"/>
      </w:pPr>
      <w:r>
        <w:rPr>
          <w:rFonts w:hint="eastAsia"/>
        </w:rPr>
        <w:t>本文件起草单位：三门核电</w:t>
      </w:r>
      <w:r>
        <w:rPr>
          <w:rFonts w:hint="eastAsia"/>
          <w:lang w:val="en-US" w:eastAsia="zh-CN"/>
        </w:rPr>
        <w:t>有限公司、</w:t>
      </w:r>
      <w:r>
        <w:rPr>
          <w:rFonts w:hint="eastAsia" w:ascii="宋体" w:hAnsi="Times New Roman" w:eastAsia="宋体" w:cs="Times New Roman"/>
          <w:lang w:val="en-US" w:eastAsia="zh-CN"/>
        </w:rPr>
        <w:t>青岛盛瀚色谱技术有限公司</w:t>
      </w:r>
      <w:r>
        <w:rPr>
          <w:rFonts w:hint="eastAsia" w:cs="Times New Roman"/>
          <w:lang w:val="en-US" w:eastAsia="zh-CN"/>
        </w:rPr>
        <w:t>、</w:t>
      </w:r>
      <w:r>
        <w:rPr>
          <w:rFonts w:hint="eastAsia" w:ascii="宋体" w:hAnsi="Times New Roman" w:eastAsia="宋体" w:cs="Times New Roman"/>
          <w:lang w:val="en-US" w:eastAsia="zh-CN"/>
        </w:rPr>
        <w:t>田湾核电有限公司、中国核电工程公司</w:t>
      </w:r>
      <w:r>
        <w:rPr>
          <w:rFonts w:hint="eastAsia"/>
        </w:rPr>
        <w:t>。</w:t>
      </w:r>
    </w:p>
    <w:p>
      <w:pPr>
        <w:pStyle w:val="230"/>
        <w:rPr>
          <w:rFonts w:hint="default" w:eastAsia="宋体"/>
          <w:lang w:val="en-US" w:eastAsia="zh-CN"/>
        </w:rPr>
      </w:pPr>
      <w:r>
        <w:rPr>
          <w:rFonts w:hint="eastAsia"/>
        </w:rPr>
        <w:t>本文件主要起草人：潘宗鹏</w:t>
      </w:r>
      <w:r>
        <w:rPr>
          <w:rFonts w:hint="eastAsia"/>
          <w:lang w:val="en-US" w:eastAsia="zh-CN"/>
        </w:rPr>
        <w:t>、侯涛、黎良斌、陈奕峥、谭东斌、李嘉怡、庄颖、刘莲、朱猛、周铭洋、肖翔、王顺达、刘高勇、聂雪超、陈东、孙阳阳、丁春铖、苏凯、陈虎威、刘权卫、李力。</w:t>
      </w:r>
    </w:p>
    <w:p>
      <w:pPr>
        <w:pStyle w:val="230"/>
      </w:pPr>
      <w:r>
        <w:rPr>
          <w:rFonts w:hint="eastAsia"/>
        </w:rPr>
        <w:t>本文件首次发布。</w:t>
      </w:r>
    </w:p>
    <w:p>
      <w:pPr>
        <w:pStyle w:val="56"/>
        <w:bidi w:val="0"/>
        <w:rPr>
          <w:rFonts w:hint="eastAsia"/>
          <w:lang w:eastAsia="zh-CN"/>
        </w:rPr>
      </w:pPr>
    </w:p>
    <w:p>
      <w:pPr>
        <w:pStyle w:val="56"/>
        <w:bidi w:val="0"/>
        <w:rPr>
          <w:rFonts w:hint="eastAsia"/>
          <w:lang w:eastAsia="zh-CN"/>
        </w:rPr>
        <w:sectPr>
          <w:pgSz w:w="11906" w:h="16838"/>
          <w:pgMar w:top="1928" w:right="1134" w:bottom="1134" w:left="1134" w:header="1418" w:footer="1134" w:gutter="284"/>
          <w:pgNumType w:fmt="upperRoman"/>
          <w:cols w:space="425" w:num="1"/>
          <w:formProt w:val="0"/>
          <w:docGrid w:linePitch="312" w:charSpace="0"/>
        </w:sectPr>
      </w:pPr>
    </w:p>
    <w:bookmarkEnd w:id="24"/>
    <w:p>
      <w:pPr>
        <w:spacing w:line="20" w:lineRule="exact"/>
        <w:jc w:val="center"/>
        <w:rPr>
          <w:rFonts w:hint="eastAsia" w:ascii="黑体" w:hAnsi="黑体" w:eastAsia="黑体"/>
          <w:sz w:val="32"/>
          <w:szCs w:val="32"/>
        </w:rPr>
      </w:pPr>
      <w:bookmarkStart w:id="26"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9B3BEDB4F2724F9D81F4444A5CCE266D"/>
        </w:placeholder>
      </w:sdtPr>
      <w:sdtContent>
        <w:p>
          <w:pPr>
            <w:pStyle w:val="177"/>
            <w:bidi w:val="0"/>
            <w:spacing w:before="313" w:beforeLines="100" w:after="4" w:afterLines="1"/>
            <w:rPr>
              <w:rFonts w:hint="eastAsia"/>
              <w:lang w:eastAsia="zh-CN"/>
            </w:rPr>
          </w:pPr>
          <w:bookmarkStart w:id="27" w:name="NEW_STAND_NAME"/>
          <w:r>
            <w:rPr>
              <w:rFonts w:hint="eastAsia"/>
              <w:lang w:eastAsia="zh-CN"/>
            </w:rPr>
            <w:t>核电厂含硼水中锌浓度的测定</w:t>
          </w:r>
        </w:p>
        <w:p>
          <w:pPr>
            <w:pStyle w:val="177"/>
            <w:bidi w:val="0"/>
            <w:spacing w:before="4" w:beforeLines="1" w:after="4" w:afterLines="1"/>
            <w:rPr>
              <w:rFonts w:hint="eastAsia"/>
              <w:lang w:eastAsia="zh-CN"/>
            </w:rPr>
          </w:pPr>
          <w:r>
            <w:rPr>
              <w:rFonts w:hint="eastAsia"/>
              <w:lang w:eastAsia="zh-CN"/>
            </w:rPr>
            <w:t>离子色谱法</w:t>
          </w:r>
        </w:p>
        <w:p>
          <w:pPr>
            <w:pStyle w:val="177"/>
            <w:bidi w:val="0"/>
            <w:spacing w:before="4" w:beforeLines="1" w:after="680"/>
            <w:rPr>
              <w:rFonts w:hint="eastAsia"/>
              <w:lang w:eastAsia="zh-CN"/>
            </w:rPr>
          </w:pPr>
        </w:p>
        <w:bookmarkEnd w:id="27"/>
        <w:p>
          <w:pPr>
            <w:pStyle w:val="177"/>
            <w:bidi w:val="0"/>
            <w:spacing w:before="4" w:beforeLines="1" w:after="680" w:afterLines="1"/>
          </w:pPr>
          <w:bookmarkStart w:id="28" w:name="_Toc97192964"/>
          <w:bookmarkStart w:id="29" w:name="_Toc24884211"/>
          <w:bookmarkStart w:id="30" w:name="_Toc17233333"/>
          <w:bookmarkStart w:id="31" w:name="_Toc26986771"/>
          <w:bookmarkStart w:id="32" w:name="_Toc17233325"/>
          <w:bookmarkStart w:id="33" w:name="_Toc26718930"/>
          <w:bookmarkStart w:id="34" w:name="_Toc26986530"/>
          <w:bookmarkStart w:id="35" w:name="_Toc24884218"/>
          <w:bookmarkStart w:id="36" w:name="_Toc26648465"/>
        </w:p>
      </w:sdtContent>
    </w:sdt>
    <w:p>
      <w:pPr>
        <w:pStyle w:val="177"/>
        <w:bidi w:val="0"/>
        <w:spacing w:before="4" w:beforeLines="1" w:after="680"/>
        <w:jc w:val="both"/>
        <w:rPr>
          <w:sz w:val="21"/>
          <w:szCs w:val="21"/>
        </w:rPr>
      </w:pPr>
      <w:r>
        <w:rPr>
          <w:rFonts w:hint="eastAsia"/>
          <w:sz w:val="21"/>
          <w:szCs w:val="21"/>
        </w:rPr>
        <w:t>警示：使用本标准的人员应有正规实验室工作的实践经验。本标准并未指出所有可能的安全问题。使用者有责任采取适当的安全和健康措施，并保证符合国家有关法规规定的条件。</w:t>
      </w:r>
    </w:p>
    <w:p>
      <w:pPr>
        <w:pStyle w:val="104"/>
        <w:bidi w:val="0"/>
      </w:pPr>
      <w:bookmarkStart w:id="37" w:name="_Toc9190"/>
      <w:bookmarkStart w:id="38" w:name="_Toc8194"/>
      <w:r>
        <w:rPr>
          <w:rFonts w:hint="eastAsia"/>
        </w:rPr>
        <w:t>范围</w:t>
      </w:r>
      <w:bookmarkEnd w:id="28"/>
      <w:bookmarkEnd w:id="29"/>
      <w:bookmarkEnd w:id="30"/>
      <w:bookmarkEnd w:id="31"/>
      <w:bookmarkEnd w:id="32"/>
      <w:bookmarkEnd w:id="33"/>
      <w:bookmarkEnd w:id="34"/>
      <w:bookmarkEnd w:id="35"/>
      <w:bookmarkEnd w:id="36"/>
      <w:bookmarkEnd w:id="37"/>
      <w:bookmarkEnd w:id="38"/>
    </w:p>
    <w:p>
      <w:pPr>
        <w:pStyle w:val="56"/>
        <w:ind w:firstLine="420"/>
      </w:pPr>
      <w:bookmarkStart w:id="39" w:name="_Toc26648466"/>
      <w:bookmarkStart w:id="40" w:name="_Toc24884212"/>
      <w:bookmarkStart w:id="41" w:name="_Toc17233326"/>
      <w:bookmarkStart w:id="42" w:name="_Toc17233334"/>
      <w:bookmarkStart w:id="43" w:name="_Toc24884219"/>
      <w:r>
        <w:rPr>
          <w:rFonts w:hint="eastAsia"/>
        </w:rPr>
        <w:t>本文件规定了离子色谱法测定核电厂含硼水中锌浓度</w:t>
      </w:r>
      <w:r>
        <w:rPr>
          <w:rFonts w:hint="eastAsia"/>
          <w:lang w:eastAsia="zh-CN"/>
        </w:rPr>
        <w:t>（</w:t>
      </w:r>
      <w:r>
        <w:rPr>
          <w:rFonts w:hint="eastAsia"/>
        </w:rPr>
        <w:t>测定范围3.00μg/L～30.00μg/L</w:t>
      </w:r>
      <w:r>
        <w:rPr>
          <w:rFonts w:hint="eastAsia"/>
          <w:lang w:eastAsia="zh-CN"/>
        </w:rPr>
        <w:t>）</w:t>
      </w:r>
      <w:r>
        <w:rPr>
          <w:rFonts w:hint="eastAsia"/>
        </w:rPr>
        <w:t>的方法。</w:t>
      </w:r>
    </w:p>
    <w:p>
      <w:pPr>
        <w:pStyle w:val="56"/>
        <w:ind w:firstLine="420"/>
        <w:rPr>
          <w:rFonts w:hint="eastAsia" w:eastAsia="宋体"/>
          <w:lang w:eastAsia="zh-CN"/>
        </w:rPr>
      </w:pPr>
      <w:r>
        <w:rPr>
          <w:rFonts w:hint="eastAsia"/>
        </w:rPr>
        <w:t>本文件适用于核电厂含硼水中锌浓度的测定。</w:t>
      </w:r>
    </w:p>
    <w:p>
      <w:pPr>
        <w:pStyle w:val="104"/>
        <w:spacing w:before="240" w:after="240"/>
      </w:pPr>
      <w:bookmarkStart w:id="44" w:name="_Toc97192965"/>
      <w:bookmarkStart w:id="45" w:name="_Toc26986772"/>
      <w:bookmarkStart w:id="46" w:name="_Toc26718931"/>
      <w:bookmarkStart w:id="47" w:name="_Toc23827"/>
      <w:bookmarkStart w:id="48" w:name="_Toc26986531"/>
      <w:bookmarkStart w:id="49" w:name="_Toc21374"/>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78956B8278AF41489B4C226600D2E8C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ascii="Times New Roman"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0"/>
        <w:rPr>
          <w:rFonts w:hint="eastAsia" w:hAnsi="宋体"/>
        </w:rPr>
      </w:pPr>
      <w:r>
        <w:rPr>
          <w:rFonts w:hint="eastAsia" w:hAnsi="宋体"/>
        </w:rPr>
        <w:t>GB/T 6682   分析实验室用水规格和试验方法</w:t>
      </w:r>
    </w:p>
    <w:p>
      <w:pPr>
        <w:pStyle w:val="230"/>
        <w:rPr>
          <w:rFonts w:hint="eastAsia" w:hAnsi="宋体"/>
        </w:rPr>
      </w:pPr>
      <w:r>
        <w:rPr>
          <w:rFonts w:hAnsi="宋体"/>
        </w:rPr>
        <w:t>GB</w:t>
      </w:r>
      <w:r>
        <w:rPr>
          <w:rFonts w:hint="eastAsia" w:hAnsi="宋体"/>
        </w:rPr>
        <w:t>/</w:t>
      </w:r>
      <w:r>
        <w:rPr>
          <w:rFonts w:hAnsi="宋体"/>
        </w:rPr>
        <w:t xml:space="preserve">T </w:t>
      </w:r>
      <w:r>
        <w:rPr>
          <w:rFonts w:hint="eastAsia" w:hAnsi="宋体"/>
        </w:rPr>
        <w:t>12806  实验室玻璃仪器 单标线容量瓶</w:t>
      </w:r>
    </w:p>
    <w:p>
      <w:pPr>
        <w:pStyle w:val="230"/>
        <w:rPr>
          <w:rFonts w:hint="eastAsia" w:hAnsi="宋体"/>
        </w:rPr>
      </w:pPr>
      <w:r>
        <w:rPr>
          <w:rFonts w:hAnsi="宋体"/>
        </w:rPr>
        <w:t>GB</w:t>
      </w:r>
      <w:r>
        <w:rPr>
          <w:rFonts w:hint="eastAsia" w:hAnsi="宋体"/>
        </w:rPr>
        <w:t>/</w:t>
      </w:r>
      <w:r>
        <w:rPr>
          <w:rFonts w:hAnsi="宋体"/>
        </w:rPr>
        <w:t xml:space="preserve">T </w:t>
      </w:r>
      <w:r>
        <w:rPr>
          <w:rFonts w:hint="eastAsia" w:hAnsi="宋体"/>
        </w:rPr>
        <w:t>12807  实验室玻璃仪器 分度吸量管</w:t>
      </w:r>
    </w:p>
    <w:p>
      <w:pPr>
        <w:pStyle w:val="230"/>
        <w:rPr>
          <w:rFonts w:hint="eastAsia" w:hAnsi="宋体"/>
        </w:rPr>
      </w:pPr>
      <w:r>
        <w:rPr>
          <w:rFonts w:hAnsi="宋体"/>
        </w:rPr>
        <w:t>GB</w:t>
      </w:r>
      <w:r>
        <w:rPr>
          <w:rFonts w:hint="eastAsia" w:hAnsi="宋体"/>
        </w:rPr>
        <w:t>/</w:t>
      </w:r>
      <w:r>
        <w:rPr>
          <w:rFonts w:hAnsi="宋体"/>
        </w:rPr>
        <w:t xml:space="preserve">T </w:t>
      </w:r>
      <w:r>
        <w:rPr>
          <w:rFonts w:hint="eastAsia" w:hAnsi="宋体"/>
        </w:rPr>
        <w:t>12808  实验室玻璃仪器 单标线吸量管</w:t>
      </w:r>
    </w:p>
    <w:p>
      <w:pPr>
        <w:pStyle w:val="230"/>
        <w:rPr>
          <w:rFonts w:hint="eastAsia" w:hAnsi="宋体"/>
        </w:rPr>
      </w:pPr>
      <w:r>
        <w:rPr>
          <w:rFonts w:hint="eastAsia" w:hAnsi="宋体"/>
        </w:rPr>
        <w:t>J</w:t>
      </w:r>
      <w:r>
        <w:rPr>
          <w:rFonts w:hAnsi="宋体"/>
        </w:rPr>
        <w:t>JG 646</w:t>
      </w:r>
      <w:r>
        <w:rPr>
          <w:rFonts w:hint="eastAsia" w:hAnsi="宋体"/>
        </w:rPr>
        <w:t xml:space="preserve">      移液器检定规程</w:t>
      </w:r>
    </w:p>
    <w:p>
      <w:pPr>
        <w:pStyle w:val="230"/>
        <w:rPr>
          <w:rFonts w:hint="eastAsia" w:eastAsia="宋体"/>
          <w:lang w:eastAsia="zh-CN"/>
        </w:rPr>
      </w:pPr>
      <w:r>
        <w:rPr>
          <w:rFonts w:hint="eastAsia" w:hAnsi="宋体"/>
        </w:rPr>
        <w:t>GB/T 34672   化学试剂 离子色谱法测定通则</w:t>
      </w:r>
    </w:p>
    <w:p>
      <w:pPr>
        <w:pStyle w:val="104"/>
        <w:spacing w:before="240" w:after="240"/>
      </w:pPr>
      <w:bookmarkStart w:id="50" w:name="_Toc97192966"/>
      <w:bookmarkStart w:id="51" w:name="_Toc29970"/>
      <w:bookmarkStart w:id="52" w:name="_Toc19021"/>
      <w:r>
        <w:rPr>
          <w:rFonts w:hint="eastAsia"/>
          <w:szCs w:val="21"/>
        </w:rPr>
        <w:t>术语和定义</w:t>
      </w:r>
      <w:bookmarkEnd w:id="50"/>
      <w:bookmarkEnd w:id="51"/>
      <w:bookmarkEnd w:id="52"/>
    </w:p>
    <w:sdt>
      <w:sdtPr>
        <w:id w:val="-1909835108"/>
        <w:placeholder>
          <w:docPart w:val="DD487E154D8B46B1811108614A11313A"/>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3" w:name="_Toc26986532"/>
          <w:bookmarkEnd w:id="53"/>
          <w:r>
            <w:rPr>
              <w:rFonts w:hint="eastAsia" w:ascii="宋体" w:hAnsi="宋体" w:eastAsia="宋体" w:cs="Times New Roman"/>
              <w:kern w:val="0"/>
              <w:szCs w:val="21"/>
            </w:rPr>
            <w:t>GB/T 34672</w:t>
          </w:r>
          <w:r>
            <w:rPr>
              <w:rFonts w:ascii="Times New Roman" w:hAnsi="Times New Roman" w:eastAsia="宋体" w:cs="Times New Roman"/>
              <w:sz w:val="21"/>
              <w:lang w:val="en-US" w:eastAsia="zh-CN" w:bidi="ar-SA"/>
            </w:rPr>
            <w:t>界定的以及下列术语和定义适用于本文件。</w:t>
          </w:r>
        </w:p>
      </w:sdtContent>
    </w:sdt>
    <w:p>
      <w:pPr>
        <w:pStyle w:val="223"/>
        <w:bidi w:val="0"/>
        <w:spacing w:after="0" w:afterLines="0"/>
        <w:ind w:left="420" w:hanging="420" w:hangingChars="200"/>
        <w:rPr>
          <w:rFonts w:hint="eastAsia" w:ascii="黑体" w:hAnsi="黑体" w:eastAsia="黑体" w:cs="黑体"/>
          <w:kern w:val="0"/>
          <w:szCs w:val="21"/>
        </w:rPr>
      </w:pPr>
    </w:p>
    <w:p>
      <w:pPr>
        <w:pStyle w:val="56"/>
        <w:ind w:firstLine="420"/>
        <w:rPr>
          <w:rFonts w:hint="eastAsia" w:ascii="黑体" w:hAnsi="黑体" w:eastAsia="黑体" w:cs="黑体"/>
          <w:kern w:val="0"/>
          <w:szCs w:val="21"/>
        </w:rPr>
      </w:pPr>
      <w:r>
        <w:rPr>
          <w:rFonts w:hint="eastAsia" w:ascii="黑体" w:hAnsi="黑体" w:eastAsia="黑体"/>
        </w:rPr>
        <w:t>离子色谱仪  ion chromatograph</w:t>
      </w:r>
    </w:p>
    <w:p>
      <w:pPr>
        <w:ind w:firstLine="420" w:firstLineChars="200"/>
        <w:rPr>
          <w:rFonts w:ascii="Arial" w:hAnsi="Arial" w:eastAsia="黑体" w:cs="Arial"/>
          <w:kern w:val="0"/>
          <w:szCs w:val="21"/>
        </w:rPr>
      </w:pPr>
      <w:r>
        <w:rPr>
          <w:rFonts w:hint="eastAsia"/>
        </w:rPr>
        <w:t>对阳离子和阴离子混合物进行分离和检测的色谱仪。</w:t>
      </w:r>
    </w:p>
    <w:p>
      <w:pPr>
        <w:pStyle w:val="223"/>
        <w:bidi w:val="0"/>
        <w:spacing w:after="0" w:afterLines="0"/>
        <w:ind w:left="420" w:hanging="420" w:hangingChars="200"/>
        <w:rPr>
          <w:rFonts w:hint="eastAsia" w:ascii="黑体" w:hAnsi="黑体" w:eastAsia="黑体" w:cs="黑体"/>
        </w:rPr>
      </w:pPr>
      <w:r>
        <w:rPr>
          <w:rFonts w:hint="eastAsia" w:ascii="黑体" w:hAnsi="黑体" w:eastAsia="黑体" w:cs="黑体"/>
        </w:rPr>
        <w:br w:type="textWrapping"/>
      </w:r>
      <w:r>
        <w:rPr>
          <w:rFonts w:hint="eastAsia" w:ascii="黑体" w:hAnsi="黑体" w:eastAsia="黑体" w:cs="黑体"/>
        </w:rPr>
        <w:t>洗脱（淋洗）剂 eluent</w:t>
      </w:r>
    </w:p>
    <w:p>
      <w:pPr>
        <w:pStyle w:val="56"/>
        <w:ind w:firstLine="420"/>
        <w:rPr>
          <w:rFonts w:hint="eastAsia"/>
        </w:rPr>
      </w:pPr>
      <w:bookmarkStart w:id="54" w:name="_bookmark4"/>
      <w:bookmarkEnd w:id="54"/>
      <w:r>
        <w:rPr>
          <w:rFonts w:hint="eastAsia"/>
        </w:rPr>
        <w:t>在分离柱中保持分离样品中的离子成分并能使其溶出的溶剂。</w:t>
      </w:r>
    </w:p>
    <w:p>
      <w:pPr>
        <w:pStyle w:val="223"/>
        <w:bidi w:val="0"/>
        <w:spacing w:after="0" w:afterLines="0"/>
        <w:ind w:left="420" w:hanging="420" w:hangingChars="200"/>
        <w:rPr>
          <w:rFonts w:hint="eastAsia" w:ascii="黑体" w:hAnsi="黑体" w:eastAsia="黑体" w:cs="黑体"/>
        </w:rPr>
      </w:pPr>
      <w:r>
        <w:rPr>
          <w:rFonts w:hint="eastAsia" w:ascii="黑体" w:hAnsi="黑体" w:eastAsia="黑体" w:cs="黑体"/>
        </w:rPr>
        <w:br w:type="textWrapping"/>
      </w:r>
      <w:r>
        <w:rPr>
          <w:rFonts w:hint="eastAsia" w:ascii="黑体" w:hAnsi="黑体" w:eastAsia="黑体" w:cs="黑体"/>
        </w:rPr>
        <w:t>前置柱 pre-colunm</w:t>
      </w:r>
    </w:p>
    <w:p>
      <w:pPr>
        <w:ind w:firstLine="420" w:firstLineChars="200"/>
        <w:rPr>
          <w:rFonts w:hint="eastAsia" w:ascii="宋体" w:hAnsi="宋体" w:eastAsia="宋体" w:cs="Times New Roman"/>
          <w:kern w:val="0"/>
          <w:szCs w:val="21"/>
          <w:lang w:eastAsia="zh-CN"/>
        </w:rPr>
      </w:pPr>
      <w:r>
        <w:rPr>
          <w:rFonts w:hint="eastAsia"/>
        </w:rPr>
        <w:t>用于待测样品离子种类成分的浓缩、预分离及除去异物等，置于进样阀前的柱子</w:t>
      </w:r>
      <w:r>
        <w:rPr>
          <w:rFonts w:hint="eastAsia"/>
          <w:lang w:eastAsia="zh-CN"/>
        </w:rPr>
        <w:t>。</w:t>
      </w:r>
    </w:p>
    <w:p>
      <w:pPr>
        <w:pStyle w:val="223"/>
        <w:bidi w:val="0"/>
        <w:spacing w:after="0" w:afterLines="0"/>
        <w:ind w:left="420" w:hanging="420" w:hangingChars="200"/>
        <w:rPr>
          <w:rFonts w:hint="eastAsia" w:ascii="黑体" w:hAnsi="黑体" w:eastAsia="黑体" w:cs="黑体"/>
        </w:rPr>
      </w:pPr>
      <w:r>
        <w:rPr>
          <w:rFonts w:hint="eastAsia" w:ascii="黑体" w:hAnsi="黑体" w:eastAsia="黑体" w:cs="黑体"/>
        </w:rPr>
        <w:br w:type="textWrapping"/>
      </w:r>
      <w:r>
        <w:rPr>
          <w:rFonts w:hint="eastAsia" w:ascii="黑体" w:hAnsi="黑体" w:eastAsia="黑体" w:cs="黑体"/>
        </w:rPr>
        <w:t>分离柱 separation column</w:t>
      </w:r>
    </w:p>
    <w:p>
      <w:pPr>
        <w:pStyle w:val="56"/>
        <w:ind w:firstLine="420"/>
      </w:pPr>
      <w:r>
        <w:rPr>
          <w:rFonts w:hint="eastAsia"/>
        </w:rPr>
        <w:t>具有以待测样品离子种类成分进行分离为目的的柱子。</w:t>
      </w:r>
    </w:p>
    <w:p>
      <w:pPr>
        <w:pStyle w:val="223"/>
        <w:bidi w:val="0"/>
        <w:spacing w:after="0" w:afterLines="0"/>
        <w:ind w:left="420" w:hanging="420" w:hangingChars="200"/>
        <w:rPr>
          <w:rFonts w:hint="eastAsia" w:ascii="黑体" w:hAnsi="黑体" w:eastAsia="黑体" w:cs="黑体"/>
        </w:rPr>
      </w:pPr>
      <w:r>
        <w:rPr>
          <w:rFonts w:hint="eastAsia" w:ascii="黑体" w:hAnsi="黑体" w:eastAsia="黑体" w:cs="黑体"/>
        </w:rPr>
        <w:br w:type="textWrapping"/>
      </w:r>
      <w:r>
        <w:rPr>
          <w:rFonts w:hint="eastAsia" w:ascii="黑体" w:hAnsi="黑体" w:eastAsia="黑体" w:cs="黑体"/>
        </w:rPr>
        <w:t>洗出液  eluate</w:t>
      </w:r>
    </w:p>
    <w:p>
      <w:pPr>
        <w:ind w:firstLine="420" w:firstLineChars="200"/>
        <w:rPr>
          <w:rFonts w:hint="eastAsia" w:ascii="宋体" w:hAnsi="宋体" w:eastAsia="宋体" w:cs="Times New Roman"/>
          <w:kern w:val="0"/>
          <w:szCs w:val="21"/>
        </w:rPr>
      </w:pPr>
      <w:r>
        <w:rPr>
          <w:rFonts w:hint="eastAsia"/>
        </w:rPr>
        <w:t>由流动相（洗脱剂）展开时从分离柱中流出的液体。</w:t>
      </w:r>
    </w:p>
    <w:p>
      <w:pPr>
        <w:pStyle w:val="223"/>
        <w:bidi w:val="0"/>
        <w:spacing w:after="0" w:afterLines="0"/>
        <w:ind w:left="420" w:hanging="420" w:hangingChars="200"/>
        <w:rPr>
          <w:rFonts w:hint="eastAsia" w:ascii="黑体" w:hAnsi="黑体" w:eastAsia="黑体" w:cs="黑体"/>
        </w:rPr>
      </w:pPr>
      <w:r>
        <w:rPr>
          <w:rFonts w:hint="eastAsia" w:ascii="黑体" w:hAnsi="黑体" w:eastAsia="黑体" w:cs="黑体"/>
        </w:rPr>
        <w:br w:type="textWrapping"/>
      </w:r>
      <w:r>
        <w:rPr>
          <w:rFonts w:hint="eastAsia" w:ascii="黑体" w:hAnsi="黑体" w:eastAsia="黑体" w:cs="黑体"/>
        </w:rPr>
        <w:t>电导检测器 conductivity detector</w:t>
      </w:r>
    </w:p>
    <w:p>
      <w:pPr>
        <w:pStyle w:val="56"/>
        <w:ind w:firstLine="420"/>
        <w:rPr>
          <w:rFonts w:hint="eastAsia"/>
        </w:rPr>
      </w:pPr>
      <w:r>
        <w:rPr>
          <w:rFonts w:hint="eastAsia"/>
        </w:rPr>
        <w:t>测定洗出液中被测组分电导率的检测器。</w:t>
      </w:r>
    </w:p>
    <w:p>
      <w:pPr>
        <w:pStyle w:val="56"/>
        <w:ind w:firstLine="420"/>
        <w:rPr>
          <w:rFonts w:hint="eastAsia"/>
        </w:rPr>
      </w:pPr>
    </w:p>
    <w:p>
      <w:pPr>
        <w:pStyle w:val="104"/>
        <w:bidi w:val="0"/>
        <w:rPr>
          <w:rFonts w:hint="eastAsia"/>
          <w:lang w:eastAsia="zh-CN"/>
        </w:rPr>
      </w:pPr>
      <w:bookmarkStart w:id="55" w:name="_Toc23089"/>
      <w:bookmarkStart w:id="56" w:name="_Toc28491"/>
      <w:r>
        <w:rPr>
          <w:rFonts w:hint="eastAsia"/>
          <w:lang w:val="en-US" w:eastAsia="zh-CN"/>
        </w:rPr>
        <w:t>原理</w:t>
      </w:r>
      <w:bookmarkEnd w:id="55"/>
      <w:bookmarkEnd w:id="56"/>
    </w:p>
    <w:p>
      <w:pPr>
        <w:pStyle w:val="56"/>
        <w:ind w:firstLine="420"/>
        <w:rPr>
          <w:rFonts w:hint="eastAsia" w:hAnsi="宋体"/>
        </w:rPr>
      </w:pPr>
      <w:r>
        <w:rPr>
          <w:rFonts w:hint="eastAsia" w:hAnsi="宋体"/>
        </w:rPr>
        <w:t>含硼基体试样中的锌通过前置柱富集，随洗脱液进入离子色谱柱交换分离，采用电导检测器检测锌离子含量。以保留时间定性，工作曲线法定量。</w:t>
      </w:r>
    </w:p>
    <w:p>
      <w:pPr>
        <w:pStyle w:val="104"/>
        <w:bidi w:val="0"/>
        <w:rPr>
          <w:rFonts w:hint="eastAsia"/>
          <w:lang w:eastAsia="zh-CN"/>
        </w:rPr>
      </w:pPr>
      <w:bookmarkStart w:id="57" w:name="_Toc21882"/>
      <w:bookmarkStart w:id="58" w:name="_Toc4977"/>
      <w:r>
        <w:rPr>
          <w:rFonts w:hint="eastAsia"/>
          <w:lang w:val="en-US" w:eastAsia="zh-CN"/>
        </w:rPr>
        <w:t>试剂和材料</w:t>
      </w:r>
      <w:bookmarkEnd w:id="57"/>
      <w:bookmarkEnd w:id="58"/>
    </w:p>
    <w:p>
      <w:pPr>
        <w:pStyle w:val="56"/>
        <w:ind w:left="0" w:leftChars="0" w:firstLine="420" w:firstLineChars="200"/>
        <w:rPr>
          <w:rFonts w:hint="eastAsia"/>
          <w:lang w:eastAsia="zh-CN"/>
        </w:rPr>
      </w:pPr>
      <w:r>
        <w:rPr>
          <w:rFonts w:hint="eastAsia"/>
          <w:lang w:eastAsia="zh-CN"/>
        </w:rPr>
        <w:t>除非另有说明，在分析中仅使用确认为优级纯的试剂除非另有说明。</w:t>
      </w:r>
    </w:p>
    <w:p>
      <w:pPr>
        <w:pStyle w:val="162"/>
        <w:bidi w:val="0"/>
        <w:rPr>
          <w:rFonts w:hint="eastAsia"/>
          <w:lang w:eastAsia="zh-CN"/>
        </w:rPr>
      </w:pPr>
      <w:r>
        <w:rPr>
          <w:rFonts w:hint="eastAsia"/>
          <w:lang w:val="en-US" w:eastAsia="zh-CN"/>
        </w:rPr>
        <w:t>水：</w:t>
      </w:r>
      <w:r>
        <w:rPr>
          <w:rFonts w:hint="eastAsia"/>
        </w:rPr>
        <w:t>符合GB/T 6682，一级水。</w:t>
      </w:r>
    </w:p>
    <w:p>
      <w:pPr>
        <w:pStyle w:val="162"/>
        <w:bidi w:val="0"/>
        <w:rPr>
          <w:rFonts w:hint="eastAsia"/>
          <w:lang w:eastAsia="zh-CN"/>
        </w:rPr>
      </w:pPr>
      <w:r>
        <w:rPr>
          <w:rFonts w:hint="eastAsia"/>
          <w:lang w:val="en-US" w:eastAsia="zh-CN"/>
        </w:rPr>
        <w:t>氮气：</w:t>
      </w:r>
      <w:r>
        <w:rPr>
          <w:rFonts w:hint="eastAsia"/>
        </w:rPr>
        <w:t>体积分数不少于99.999%</w:t>
      </w:r>
      <w:r>
        <w:rPr>
          <w:rFonts w:hint="eastAsia"/>
          <w:lang w:eastAsia="zh-CN"/>
        </w:rPr>
        <w:t>。</w:t>
      </w:r>
    </w:p>
    <w:p>
      <w:pPr>
        <w:pStyle w:val="162"/>
        <w:bidi w:val="0"/>
        <w:rPr>
          <w:rFonts w:hint="eastAsia"/>
          <w:lang w:eastAsia="zh-CN"/>
        </w:rPr>
      </w:pPr>
      <w:r>
        <w:rPr>
          <w:rFonts w:hint="eastAsia"/>
          <w:lang w:val="en-US" w:eastAsia="zh-CN"/>
        </w:rPr>
        <w:t>锌标准溶液：</w:t>
      </w:r>
      <w:r>
        <w:rPr>
          <w:rFonts w:hint="eastAsia"/>
        </w:rPr>
        <w:t>1000mg/L，市售有证标准溶液</w:t>
      </w:r>
      <w:r>
        <w:rPr>
          <w:rFonts w:hint="eastAsia"/>
          <w:lang w:eastAsia="zh-CN"/>
        </w:rPr>
        <w:t>。</w:t>
      </w:r>
    </w:p>
    <w:p>
      <w:pPr>
        <w:pStyle w:val="162"/>
        <w:bidi w:val="0"/>
        <w:rPr>
          <w:rFonts w:hint="eastAsia"/>
          <w:lang w:eastAsia="zh-CN"/>
        </w:rPr>
      </w:pPr>
      <w:r>
        <w:rPr>
          <w:rFonts w:hint="eastAsia"/>
          <w:lang w:val="en-US" w:eastAsia="zh-CN"/>
        </w:rPr>
        <w:t>锌标准贮备液：</w:t>
      </w:r>
      <w:r>
        <w:rPr>
          <w:rFonts w:hint="eastAsia"/>
        </w:rPr>
        <w:t>1.00mg/L</w:t>
      </w:r>
      <w:r>
        <w:rPr>
          <w:rFonts w:hint="eastAsia"/>
          <w:lang w:eastAsia="zh-CN"/>
        </w:rPr>
        <w:t>，</w:t>
      </w:r>
      <w:r>
        <w:rPr>
          <w:rFonts w:hint="eastAsia"/>
        </w:rPr>
        <w:t>移取锌标准溶液（5.</w:t>
      </w:r>
      <w:r>
        <w:rPr>
          <w:rFonts w:hint="eastAsia"/>
          <w:lang w:val="en-US" w:eastAsia="zh-CN"/>
        </w:rPr>
        <w:t>1.3</w:t>
      </w:r>
      <w:r>
        <w:rPr>
          <w:rFonts w:hint="eastAsia"/>
        </w:rPr>
        <w:t>）各1.00mL于1000mL容量瓶中，用</w:t>
      </w:r>
      <w:r>
        <w:rPr>
          <w:rFonts w:hint="eastAsia"/>
          <w:lang w:val="en-US" w:eastAsia="zh-CN"/>
        </w:rPr>
        <w:t>水</w:t>
      </w:r>
      <w:r>
        <w:rPr>
          <w:rFonts w:hint="eastAsia"/>
        </w:rPr>
        <w:t>（5.1）定容至刻度，混匀</w:t>
      </w:r>
      <w:r>
        <w:rPr>
          <w:rFonts w:hint="eastAsia"/>
          <w:lang w:eastAsia="zh-CN"/>
        </w:rPr>
        <w:t>。</w:t>
      </w:r>
    </w:p>
    <w:p>
      <w:pPr>
        <w:pStyle w:val="162"/>
        <w:bidi w:val="0"/>
        <w:rPr>
          <w:rFonts w:hint="eastAsia"/>
          <w:lang w:eastAsia="zh-CN"/>
        </w:rPr>
      </w:pPr>
      <w:r>
        <w:rPr>
          <w:rFonts w:hint="eastAsia"/>
          <w:lang w:val="en-US" w:eastAsia="zh-CN"/>
        </w:rPr>
        <w:t>甲烷磺酸洗脱剂贮备液：0.25</w:t>
      </w:r>
      <w:r>
        <w:rPr>
          <w:rFonts w:hint="eastAsia"/>
        </w:rPr>
        <w:t>mol/L</w:t>
      </w:r>
      <w:r>
        <w:rPr>
          <w:rFonts w:hint="eastAsia"/>
          <w:lang w:val="en-US" w:eastAsia="zh-CN"/>
        </w:rPr>
        <w:t>·</w:t>
      </w:r>
      <w:r>
        <w:rPr>
          <w:rFonts w:hint="eastAsia"/>
          <w:lang w:eastAsia="zh-CN"/>
        </w:rPr>
        <w:t>，</w:t>
      </w:r>
      <w:r>
        <w:rPr>
          <w:rFonts w:hint="eastAsia"/>
          <w:lang w:val="en-US" w:eastAsia="zh-CN"/>
        </w:rPr>
        <w:t>称取12.00g 99.9%的</w:t>
      </w:r>
      <w:r>
        <w:rPr>
          <w:rFonts w:hint="eastAsia"/>
        </w:rPr>
        <w:t>甲烷磺酸</w:t>
      </w:r>
      <w:r>
        <w:rPr>
          <w:rFonts w:hint="eastAsia"/>
          <w:lang w:eastAsia="zh-CN"/>
        </w:rPr>
        <w:t>，</w:t>
      </w:r>
      <w:r>
        <w:rPr>
          <w:rFonts w:hint="eastAsia"/>
          <w:lang w:val="en-US" w:eastAsia="zh-CN"/>
        </w:rPr>
        <w:t>用水</w:t>
      </w:r>
      <w:r>
        <w:rPr>
          <w:rFonts w:hint="eastAsia"/>
        </w:rPr>
        <w:t>（5.1</w:t>
      </w:r>
      <w:r>
        <w:rPr>
          <w:rFonts w:hint="eastAsia"/>
          <w:lang w:val="en-US" w:eastAsia="zh-CN"/>
        </w:rPr>
        <w:t>.1</w:t>
      </w:r>
      <w:r>
        <w:rPr>
          <w:rFonts w:hint="eastAsia"/>
        </w:rPr>
        <w:t>）</w:t>
      </w:r>
      <w:r>
        <w:rPr>
          <w:rFonts w:hint="eastAsia"/>
          <w:lang w:val="en-US" w:eastAsia="zh-CN"/>
        </w:rPr>
        <w:t>稀释定容至500mL</w:t>
      </w:r>
      <w:r>
        <w:rPr>
          <w:rFonts w:hint="eastAsia"/>
          <w:lang w:eastAsia="zh-CN"/>
        </w:rPr>
        <w:t>。</w:t>
      </w:r>
    </w:p>
    <w:p>
      <w:pPr>
        <w:pStyle w:val="162"/>
        <w:bidi w:val="0"/>
        <w:rPr>
          <w:rFonts w:hint="eastAsia"/>
          <w:lang w:eastAsia="zh-CN"/>
        </w:rPr>
      </w:pPr>
      <w:r>
        <w:rPr>
          <w:rFonts w:hint="eastAsia"/>
          <w:lang w:val="en-US" w:eastAsia="zh-CN"/>
        </w:rPr>
        <w:t>草酸洗脱剂贮备液：0.08</w:t>
      </w:r>
      <w:r>
        <w:rPr>
          <w:rFonts w:hint="eastAsia"/>
        </w:rPr>
        <w:t>mol/L</w:t>
      </w:r>
      <w:r>
        <w:rPr>
          <w:rFonts w:hint="eastAsia"/>
          <w:lang w:eastAsia="zh-CN"/>
        </w:rPr>
        <w:t>，</w:t>
      </w:r>
      <w:r>
        <w:rPr>
          <w:rFonts w:hint="eastAsia"/>
          <w:lang w:val="en-US" w:eastAsia="zh-CN"/>
        </w:rPr>
        <w:t>称取7.20g</w:t>
      </w:r>
      <w:r>
        <w:rPr>
          <w:rFonts w:hint="eastAsia"/>
        </w:rPr>
        <w:t>草酸</w:t>
      </w:r>
      <w:r>
        <w:rPr>
          <w:rFonts w:hint="eastAsia"/>
          <w:lang w:val="en-US" w:eastAsia="zh-CN"/>
        </w:rPr>
        <w:t>，用水</w:t>
      </w:r>
      <w:r>
        <w:rPr>
          <w:rFonts w:hint="eastAsia"/>
        </w:rPr>
        <w:t>（5.1</w:t>
      </w:r>
      <w:r>
        <w:rPr>
          <w:rFonts w:hint="eastAsia"/>
          <w:lang w:val="en-US" w:eastAsia="zh-CN"/>
        </w:rPr>
        <w:t>.1</w:t>
      </w:r>
      <w:r>
        <w:rPr>
          <w:rFonts w:hint="eastAsia"/>
        </w:rPr>
        <w:t>）</w:t>
      </w:r>
      <w:r>
        <w:rPr>
          <w:rFonts w:hint="eastAsia"/>
          <w:lang w:val="en-US" w:eastAsia="zh-CN"/>
        </w:rPr>
        <w:t>溶解后定容至1000mL。</w:t>
      </w:r>
    </w:p>
    <w:p>
      <w:pPr>
        <w:pStyle w:val="162"/>
        <w:bidi w:val="0"/>
        <w:rPr>
          <w:rFonts w:hint="eastAsia"/>
          <w:lang w:eastAsia="zh-CN"/>
        </w:rPr>
      </w:pPr>
      <w:r>
        <w:rPr>
          <w:rFonts w:hint="eastAsia"/>
          <w:lang w:val="en-US" w:eastAsia="zh-CN"/>
        </w:rPr>
        <w:t>甲烷磺酸-草酸洗脱剂工作液：</w:t>
      </w:r>
      <w:r>
        <w:rPr>
          <w:rFonts w:hint="eastAsia"/>
        </w:rPr>
        <w:t>甲基磺酸2.50mmol/L，草酸0.80mmol/L</w:t>
      </w:r>
      <w:r>
        <w:rPr>
          <w:rFonts w:hint="eastAsia"/>
          <w:lang w:eastAsia="zh-CN"/>
        </w:rPr>
        <w:t>，</w:t>
      </w:r>
      <w:r>
        <w:rPr>
          <w:rFonts w:hint="eastAsia"/>
        </w:rPr>
        <w:t>移取</w:t>
      </w:r>
      <w:r>
        <w:rPr>
          <w:rFonts w:hint="eastAsia"/>
          <w:lang w:val="en-US" w:eastAsia="zh-CN"/>
        </w:rPr>
        <w:t>10.0</w:t>
      </w:r>
      <w:r>
        <w:rPr>
          <w:rFonts w:hint="eastAsia"/>
        </w:rPr>
        <w:t>mL甲烷磺酸洗脱剂贮备液（5.</w:t>
      </w:r>
      <w:r>
        <w:rPr>
          <w:rFonts w:hint="eastAsia"/>
          <w:lang w:val="en-US" w:eastAsia="zh-CN"/>
        </w:rPr>
        <w:t>1.5</w:t>
      </w:r>
      <w:r>
        <w:rPr>
          <w:rFonts w:hint="eastAsia"/>
        </w:rPr>
        <w:t>）及</w:t>
      </w:r>
      <w:r>
        <w:rPr>
          <w:rFonts w:hint="eastAsia"/>
          <w:lang w:val="en-US" w:eastAsia="zh-CN"/>
        </w:rPr>
        <w:t>10.0</w:t>
      </w:r>
      <w:r>
        <w:rPr>
          <w:rFonts w:hint="eastAsia"/>
        </w:rPr>
        <w:t>mL草酸洗脱剂贮备液（5.</w:t>
      </w:r>
      <w:r>
        <w:rPr>
          <w:rFonts w:hint="eastAsia"/>
          <w:lang w:val="en-US" w:eastAsia="zh-CN"/>
        </w:rPr>
        <w:t>1.6</w:t>
      </w:r>
      <w:r>
        <w:rPr>
          <w:rFonts w:hint="eastAsia"/>
        </w:rPr>
        <w:t>）于1000mL容量瓶中，用水（5.1</w:t>
      </w:r>
      <w:r>
        <w:rPr>
          <w:rFonts w:hint="eastAsia"/>
          <w:lang w:val="en-US" w:eastAsia="zh-CN"/>
        </w:rPr>
        <w:t>.1</w:t>
      </w:r>
      <w:r>
        <w:rPr>
          <w:rFonts w:hint="eastAsia"/>
        </w:rPr>
        <w:t>）定容至刻度，混匀。临用前配制。</w:t>
      </w:r>
    </w:p>
    <w:p>
      <w:pPr>
        <w:pStyle w:val="179"/>
        <w:bidi w:val="0"/>
        <w:rPr>
          <w:rFonts w:hint="eastAsia"/>
          <w:lang w:eastAsia="zh-CN"/>
        </w:rPr>
      </w:pPr>
      <w:r>
        <w:rPr>
          <w:rFonts w:hint="eastAsia"/>
          <w:sz w:val="18"/>
          <w:szCs w:val="18"/>
        </w:rPr>
        <w:t>洗脱剂根据不同色谱柱的使用条件配制，以上给出的洗脱剂配制方法仅供参考。</w:t>
      </w:r>
    </w:p>
    <w:p>
      <w:pPr>
        <w:pStyle w:val="104"/>
        <w:bidi w:val="0"/>
        <w:rPr>
          <w:rFonts w:hint="eastAsia"/>
          <w:lang w:eastAsia="zh-CN"/>
        </w:rPr>
      </w:pPr>
      <w:bookmarkStart w:id="59" w:name="_Toc6987"/>
      <w:bookmarkStart w:id="60" w:name="_Toc4580"/>
      <w:r>
        <w:rPr>
          <w:rFonts w:hint="eastAsia"/>
          <w:lang w:val="en-US" w:eastAsia="zh-CN"/>
        </w:rPr>
        <w:t>仪器设备</w:t>
      </w:r>
      <w:bookmarkEnd w:id="59"/>
      <w:bookmarkEnd w:id="60"/>
    </w:p>
    <w:p>
      <w:pPr>
        <w:pStyle w:val="162"/>
        <w:bidi w:val="0"/>
        <w:rPr>
          <w:rFonts w:hint="eastAsia"/>
          <w:lang w:eastAsia="zh-CN"/>
        </w:rPr>
      </w:pPr>
      <w:bookmarkStart w:id="61" w:name="_Toc199776129"/>
      <w:r>
        <w:rPr>
          <w:rFonts w:hint="eastAsia"/>
        </w:rPr>
        <w:t>离子色谱仪：由洗脱剂储液器、输液系统、样品导入系统、色谱柱系统、检测系统、数据处理系统组成。宜配置抑制装置。仪器的稳定性符合GB/T 34672的规定</w:t>
      </w:r>
      <w:bookmarkEnd w:id="61"/>
      <w:r>
        <w:t>。</w:t>
      </w:r>
    </w:p>
    <w:p>
      <w:pPr>
        <w:pStyle w:val="162"/>
        <w:bidi w:val="0"/>
        <w:rPr>
          <w:rFonts w:hint="eastAsia"/>
          <w:lang w:eastAsia="zh-CN"/>
        </w:rPr>
      </w:pPr>
      <w:bookmarkStart w:id="62" w:name="_Toc199776130"/>
      <w:r>
        <w:rPr>
          <w:rFonts w:hint="eastAsia"/>
        </w:rPr>
        <w:t>分析柱：聚乙基乙烯基苯与二乙烯基苯，交联度55%，接枝羧酸官能团。长250mm、内径4mm，或其他等效阳离子色谱柱。</w:t>
      </w:r>
      <w:bookmarkEnd w:id="62"/>
    </w:p>
    <w:p>
      <w:pPr>
        <w:pStyle w:val="162"/>
        <w:bidi w:val="0"/>
        <w:rPr>
          <w:rFonts w:hint="eastAsia"/>
          <w:lang w:eastAsia="zh-CN"/>
        </w:rPr>
      </w:pPr>
      <w:r>
        <w:rPr>
          <w:rFonts w:hint="eastAsia"/>
        </w:rPr>
        <w:t>前置柱：聚乙基乙烯基苯与二乙烯基苯，交联度55%，接枝羧酸官能团。长50mm、内径4mm，或其他等效阳离子色谱柱。</w:t>
      </w:r>
    </w:p>
    <w:p>
      <w:pPr>
        <w:pStyle w:val="162"/>
        <w:bidi w:val="0"/>
        <w:rPr>
          <w:rFonts w:hint="eastAsia"/>
          <w:lang w:eastAsia="zh-CN"/>
        </w:rPr>
      </w:pPr>
      <w:r>
        <w:rPr>
          <w:rFonts w:hint="eastAsia"/>
        </w:rPr>
        <w:t>分析天平，感量0.01g。</w:t>
      </w:r>
    </w:p>
    <w:p>
      <w:pPr>
        <w:pStyle w:val="162"/>
        <w:bidi w:val="0"/>
        <w:rPr>
          <w:rFonts w:hint="eastAsia"/>
          <w:lang w:eastAsia="zh-CN"/>
        </w:rPr>
      </w:pPr>
      <w:bookmarkStart w:id="63" w:name="_Toc193043690"/>
      <w:bookmarkStart w:id="64" w:name="_Toc36497201"/>
      <w:bookmarkStart w:id="65" w:name="_Toc193045399"/>
      <w:r>
        <w:rPr>
          <w:rFonts w:hint="eastAsia"/>
        </w:rPr>
        <w:t>移液管</w:t>
      </w:r>
      <w:bookmarkEnd w:id="63"/>
      <w:bookmarkEnd w:id="64"/>
      <w:bookmarkEnd w:id="65"/>
      <w:r>
        <w:rPr>
          <w:rFonts w:hint="eastAsia"/>
        </w:rPr>
        <w:t>和单标线容量瓶，符合</w:t>
      </w:r>
      <w:r>
        <w:t>GB</w:t>
      </w:r>
      <w:r>
        <w:rPr>
          <w:rFonts w:hint="eastAsia"/>
        </w:rPr>
        <w:t>/</w:t>
      </w:r>
      <w:r>
        <w:t xml:space="preserve">T </w:t>
      </w:r>
      <w:r>
        <w:rPr>
          <w:rFonts w:hint="eastAsia"/>
        </w:rPr>
        <w:t>12806、G</w:t>
      </w:r>
      <w:r>
        <w:t xml:space="preserve">B/T </w:t>
      </w:r>
      <w:r>
        <w:rPr>
          <w:rFonts w:hint="eastAsia"/>
        </w:rPr>
        <w:t>12807、G</w:t>
      </w:r>
      <w:r>
        <w:t xml:space="preserve">B/T </w:t>
      </w:r>
      <w:r>
        <w:rPr>
          <w:rFonts w:hint="eastAsia"/>
        </w:rPr>
        <w:t>12808规定。</w:t>
      </w:r>
    </w:p>
    <w:p>
      <w:pPr>
        <w:pStyle w:val="162"/>
        <w:bidi w:val="0"/>
        <w:rPr>
          <w:rFonts w:hint="eastAsia"/>
          <w:lang w:eastAsia="zh-CN"/>
        </w:rPr>
      </w:pPr>
      <w:r>
        <w:rPr>
          <w:rFonts w:hint="eastAsia"/>
        </w:rPr>
        <w:t>移液枪，1000μL，5000μL，符合J</w:t>
      </w:r>
      <w:r>
        <w:t>JG 646</w:t>
      </w:r>
      <w:r>
        <w:rPr>
          <w:rFonts w:hint="eastAsia"/>
        </w:rPr>
        <w:t>规定。</w:t>
      </w:r>
    </w:p>
    <w:p>
      <w:pPr>
        <w:pStyle w:val="104"/>
        <w:bidi w:val="0"/>
        <w:rPr>
          <w:rFonts w:hint="eastAsia"/>
          <w:lang w:eastAsia="zh-CN"/>
        </w:rPr>
      </w:pPr>
      <w:bookmarkStart w:id="66" w:name="_Toc24733"/>
      <w:bookmarkStart w:id="67" w:name="_Toc1142"/>
      <w:r>
        <w:rPr>
          <w:rFonts w:hint="eastAsia"/>
          <w:lang w:val="en-US" w:eastAsia="zh-CN"/>
        </w:rPr>
        <w:t>样品</w:t>
      </w:r>
      <w:bookmarkEnd w:id="66"/>
      <w:bookmarkEnd w:id="67"/>
    </w:p>
    <w:p>
      <w:pPr>
        <w:pStyle w:val="165"/>
        <w:numPr>
          <w:ilvl w:val="3"/>
          <w:numId w:val="0"/>
        </w:numPr>
        <w:bidi w:val="0"/>
        <w:ind w:leftChars="0" w:firstLine="420" w:firstLineChars="200"/>
        <w:rPr>
          <w:rFonts w:hint="eastAsia"/>
          <w:lang w:eastAsia="zh-CN"/>
        </w:rPr>
      </w:pPr>
      <w:r>
        <w:rPr>
          <w:rFonts w:hint="eastAsia"/>
        </w:rPr>
        <w:t>应在已建立连续取样流足够时长的取样点使用聚乙烯瓶采集含硼水样。一回路冷却剂取样时宜采取缩短取样时长、建立辐射屏蔽、使用专用屏蔽容器等辐射防护措施。样品取样至完成分析的时长不宜超过24h</w:t>
      </w:r>
      <w:r>
        <w:rPr>
          <w:rFonts w:hint="eastAsia"/>
          <w:lang w:eastAsia="zh-CN"/>
        </w:rPr>
        <w:t>。</w:t>
      </w:r>
    </w:p>
    <w:p>
      <w:pPr>
        <w:pStyle w:val="104"/>
        <w:bidi w:val="0"/>
        <w:rPr>
          <w:rFonts w:hint="eastAsia"/>
          <w:lang w:eastAsia="zh-CN"/>
        </w:rPr>
      </w:pPr>
      <w:bookmarkStart w:id="68" w:name="_Toc5952"/>
      <w:bookmarkStart w:id="69" w:name="_Toc21234"/>
      <w:r>
        <w:rPr>
          <w:rFonts w:hint="eastAsia"/>
          <w:lang w:val="en-US" w:eastAsia="zh-CN"/>
        </w:rPr>
        <w:t>试验步骤</w:t>
      </w:r>
      <w:bookmarkEnd w:id="68"/>
      <w:bookmarkEnd w:id="69"/>
    </w:p>
    <w:p>
      <w:pPr>
        <w:pStyle w:val="105"/>
        <w:bidi w:val="0"/>
        <w:rPr>
          <w:rFonts w:hint="eastAsia"/>
          <w:lang w:eastAsia="zh-CN"/>
        </w:rPr>
      </w:pPr>
      <w:bookmarkStart w:id="70" w:name="_Toc14735"/>
      <w:r>
        <w:rPr>
          <w:rFonts w:hint="eastAsia"/>
          <w:lang w:val="en-US" w:eastAsia="zh-CN"/>
        </w:rPr>
        <w:t>绘制工作标准曲线</w:t>
      </w:r>
      <w:bookmarkEnd w:id="70"/>
    </w:p>
    <w:p>
      <w:pPr>
        <w:pStyle w:val="165"/>
        <w:bidi w:val="0"/>
        <w:rPr>
          <w:rFonts w:hint="eastAsia"/>
          <w:lang w:eastAsia="zh-CN"/>
        </w:rPr>
      </w:pPr>
      <w:r>
        <w:rPr>
          <w:rFonts w:hint="eastAsia"/>
        </w:rPr>
        <w:t>参照附录A的表A.1含硼水中锌浓度测定的参考条件设置仪器参数。</w:t>
      </w:r>
    </w:p>
    <w:p>
      <w:pPr>
        <w:pStyle w:val="165"/>
        <w:bidi w:val="0"/>
        <w:rPr>
          <w:rFonts w:hint="eastAsia"/>
          <w:lang w:eastAsia="zh-CN"/>
        </w:rPr>
      </w:pPr>
      <w:r>
        <w:rPr>
          <w:rFonts w:hint="eastAsia"/>
        </w:rPr>
        <w:t>分别移取0mL，0.30mL，0.50mL，1.00mL，2.00mL，3.00mL锌标准贮备液（5.</w:t>
      </w:r>
      <w:r>
        <w:rPr>
          <w:rFonts w:hint="eastAsia"/>
          <w:lang w:val="en-US" w:eastAsia="zh-CN"/>
        </w:rPr>
        <w:t>4</w:t>
      </w:r>
      <w:r>
        <w:rPr>
          <w:rFonts w:hint="eastAsia"/>
        </w:rPr>
        <w:t>）至100mL容量瓶中，依次用水稀释、定容，得到锌离子系列标准样品，通过样品注入系统进样测定。含硼水中锌浓度测定的参考离子色谱图参见附录B中的图B.1</w:t>
      </w:r>
      <w:r>
        <w:rPr>
          <w:rFonts w:hint="eastAsia"/>
          <w:lang w:eastAsia="zh-CN"/>
        </w:rPr>
        <w:t>。</w:t>
      </w:r>
    </w:p>
    <w:p>
      <w:pPr>
        <w:pStyle w:val="165"/>
        <w:bidi w:val="0"/>
      </w:pPr>
      <w:r>
        <w:rPr>
          <w:rFonts w:hint="eastAsia"/>
        </w:rPr>
        <w:t>以锌离子</w:t>
      </w:r>
      <w:r>
        <w:rPr>
          <w:rFonts w:hint="eastAsia"/>
          <w:lang w:val="en-US" w:eastAsia="zh-CN"/>
        </w:rPr>
        <w:t>体积</w:t>
      </w:r>
      <w:r>
        <w:rPr>
          <w:rFonts w:hint="eastAsia"/>
        </w:rPr>
        <w:t>浓度为</w:t>
      </w:r>
      <w:r>
        <w:rPr>
          <w:rFonts w:hint="eastAsia"/>
          <w:lang w:val="en-US" w:eastAsia="zh-CN"/>
        </w:rPr>
        <w:t>横</w:t>
      </w:r>
      <w:r>
        <w:rPr>
          <w:rFonts w:hint="eastAsia"/>
        </w:rPr>
        <w:t>坐标，以扣除空白后响应的峰面积为</w:t>
      </w:r>
      <w:r>
        <w:rPr>
          <w:rFonts w:hint="eastAsia"/>
          <w:lang w:val="en-US" w:eastAsia="zh-CN"/>
        </w:rPr>
        <w:t>纵坐标</w:t>
      </w:r>
      <w:r>
        <w:rPr>
          <w:rFonts w:hint="eastAsia"/>
        </w:rPr>
        <w:t>，绘制标准工作曲线</w:t>
      </w:r>
      <w:r>
        <w:rPr>
          <w:rFonts w:hint="eastAsia"/>
          <w:lang w:eastAsia="zh-CN"/>
        </w:rPr>
        <w:t>。</w:t>
      </w:r>
    </w:p>
    <w:p>
      <w:pPr>
        <w:pStyle w:val="105"/>
        <w:bidi w:val="0"/>
        <w:rPr>
          <w:rFonts w:hint="eastAsia"/>
          <w:lang w:eastAsia="zh-CN"/>
        </w:rPr>
      </w:pPr>
      <w:bookmarkStart w:id="71" w:name="_Toc13322"/>
      <w:r>
        <w:rPr>
          <w:rFonts w:hint="eastAsia"/>
          <w:lang w:val="en-US" w:eastAsia="zh-CN"/>
        </w:rPr>
        <w:t>样品的测定</w:t>
      </w:r>
      <w:bookmarkEnd w:id="71"/>
    </w:p>
    <w:p>
      <w:pPr>
        <w:pStyle w:val="56"/>
        <w:ind w:firstLine="420"/>
        <w:rPr>
          <w:rFonts w:hint="eastAsia"/>
        </w:rPr>
      </w:pPr>
      <w:r>
        <w:rPr>
          <w:rFonts w:hint="eastAsia"/>
        </w:rPr>
        <w:t>在与绘制</w:t>
      </w:r>
      <w:r>
        <w:rPr>
          <w:rFonts w:hint="eastAsia"/>
          <w:lang w:val="en-US" w:eastAsia="zh-CN"/>
        </w:rPr>
        <w:t>标准</w:t>
      </w:r>
      <w:r>
        <w:rPr>
          <w:rFonts w:hint="eastAsia"/>
        </w:rPr>
        <w:t>曲线相同的仪器参数及实验室条件下测量样品溶液。根据样品溶液的谱线强度和</w:t>
      </w:r>
      <w:r>
        <w:rPr>
          <w:rFonts w:hint="eastAsia"/>
          <w:lang w:val="en-US" w:eastAsia="zh-CN"/>
        </w:rPr>
        <w:t>标准</w:t>
      </w:r>
      <w:r>
        <w:rPr>
          <w:rFonts w:hint="eastAsia"/>
        </w:rPr>
        <w:t>曲线，仪器计算出样品溶液中待测元素的浓度Ci。</w:t>
      </w:r>
    </w:p>
    <w:p>
      <w:pPr>
        <w:pStyle w:val="56"/>
        <w:ind w:firstLine="420"/>
      </w:pPr>
      <w:r>
        <w:rPr>
          <w:rFonts w:hint="eastAsia"/>
        </w:rPr>
        <w:t>若样品中待测元素浓度高于</w:t>
      </w:r>
      <w:r>
        <w:rPr>
          <w:rFonts w:hint="eastAsia"/>
          <w:lang w:val="en-US" w:eastAsia="zh-CN"/>
        </w:rPr>
        <w:t>标准</w:t>
      </w:r>
      <w:r>
        <w:rPr>
          <w:rFonts w:hint="eastAsia"/>
        </w:rPr>
        <w:t>曲线上限，则应使用水稀释样品至</w:t>
      </w:r>
      <w:r>
        <w:rPr>
          <w:rFonts w:hint="eastAsia"/>
          <w:lang w:val="en-US" w:eastAsia="zh-CN"/>
        </w:rPr>
        <w:t>标准</w:t>
      </w:r>
      <w:r>
        <w:rPr>
          <w:rFonts w:hint="eastAsia"/>
        </w:rPr>
        <w:t>曲线范围</w:t>
      </w:r>
    </w:p>
    <w:p>
      <w:pPr>
        <w:pStyle w:val="104"/>
        <w:bidi w:val="0"/>
        <w:rPr>
          <w:rFonts w:hint="default"/>
          <w:lang w:val="en-US"/>
        </w:rPr>
      </w:pPr>
      <w:bookmarkStart w:id="72" w:name="_Toc3093"/>
      <w:bookmarkStart w:id="73" w:name="_Toc27200"/>
      <w:r>
        <w:rPr>
          <w:rFonts w:hint="eastAsia"/>
          <w:lang w:val="en-US" w:eastAsia="zh-CN"/>
        </w:rPr>
        <w:t>试验数据处理</w:t>
      </w:r>
      <w:bookmarkEnd w:id="72"/>
      <w:bookmarkEnd w:id="73"/>
    </w:p>
    <w:p>
      <w:pPr>
        <w:pStyle w:val="56"/>
        <w:ind w:firstLine="420"/>
      </w:pPr>
      <w:r>
        <w:rPr>
          <w:rFonts w:hint="eastAsia"/>
        </w:rPr>
        <w:t>锌离子的含量，按式(1)计算：</w:t>
      </w:r>
    </w:p>
    <w:p>
      <w:pPr>
        <w:pStyle w:val="113"/>
        <w:rPr>
          <w:rFonts w:hint="eastAsia"/>
        </w:rPr>
      </w:pPr>
      <w:r>
        <w:rPr>
          <w:rFonts w:hint="eastAsia"/>
        </w:rPr>
        <w:tab/>
      </w:r>
      <m:oMath>
        <m:r>
          <m:rPr>
            <m:sty m:val="p"/>
          </m:rPr>
          <w:rPr>
            <w:rFonts w:ascii="Cambria Math" w:hAnsi="Cambria Math"/>
          </w:rPr>
          <m:t>X=C×F</m:t>
        </m:r>
      </m:oMath>
      <w:r>
        <w:rPr>
          <w:rFonts w:hint="eastAsia" w:ascii="微软雅黑" w:hAnsi="微软雅黑" w:eastAsia="微软雅黑"/>
        </w:rPr>
        <w:tab/>
      </w:r>
      <w:r>
        <w:t xml:space="preserve">         (</w:t>
      </w:r>
      <w:r>
        <w:fldChar w:fldCharType="begin"/>
      </w:r>
      <w:r>
        <w:instrText xml:space="preserve"> AUTONUM </w:instrText>
      </w:r>
      <w:r>
        <w:fldChar w:fldCharType="end"/>
      </w:r>
      <w:r>
        <w:t>)</w:t>
      </w:r>
    </w:p>
    <w:p>
      <w:pPr>
        <w:pStyle w:val="55"/>
        <w:ind w:firstLine="420"/>
      </w:pPr>
      <w:r>
        <w:rPr>
          <w:rFonts w:hint="eastAsia"/>
        </w:rPr>
        <w:t>式中：</w:t>
      </w:r>
    </w:p>
    <w:p>
      <w:pPr>
        <w:pStyle w:val="56"/>
        <w:ind w:firstLine="420"/>
      </w:pPr>
      <w:r>
        <w:rPr>
          <w:rFonts w:hint="eastAsia"/>
        </w:rPr>
        <w:t>X——样品中锌的浓度，单位为微克每</w:t>
      </w:r>
      <w:r>
        <w:rPr>
          <w:rFonts w:hint="eastAsia"/>
          <w:lang w:val="en-US" w:eastAsia="zh-CN"/>
        </w:rPr>
        <w:t>千克</w:t>
      </w:r>
      <w:r>
        <w:rPr>
          <w:rFonts w:hint="eastAsia"/>
        </w:rPr>
        <w:t>（</w:t>
      </w:r>
      <w:r>
        <w:rPr>
          <w:rFonts w:hint="eastAsia"/>
          <w:lang w:eastAsia="zh-CN"/>
        </w:rPr>
        <w:t>μg/L</w:t>
      </w:r>
      <w:r>
        <w:rPr>
          <w:rFonts w:hint="eastAsia"/>
        </w:rPr>
        <w:t>）；</w:t>
      </w:r>
    </w:p>
    <w:p>
      <w:pPr>
        <w:pStyle w:val="56"/>
        <w:ind w:firstLine="420"/>
      </w:pPr>
      <w:r>
        <w:rPr>
          <w:rFonts w:hint="eastAsia"/>
        </w:rPr>
        <w:t>C——进样样品中锌的浓度，单位为微克</w:t>
      </w:r>
      <w:r>
        <w:rPr>
          <w:rFonts w:hint="eastAsia"/>
          <w:lang w:val="en-US" w:eastAsia="zh-CN"/>
        </w:rPr>
        <w:t>每千克</w:t>
      </w:r>
      <w:r>
        <w:rPr>
          <w:rFonts w:hint="eastAsia"/>
        </w:rPr>
        <w:t>（</w:t>
      </w:r>
      <w:r>
        <w:rPr>
          <w:rFonts w:hint="eastAsia"/>
          <w:lang w:eastAsia="zh-CN"/>
        </w:rPr>
        <w:t>μg/L</w:t>
      </w:r>
      <w:r>
        <w:rPr>
          <w:rFonts w:hint="eastAsia"/>
        </w:rPr>
        <w:t>）；</w:t>
      </w:r>
    </w:p>
    <w:p>
      <w:pPr>
        <w:pStyle w:val="104"/>
        <w:bidi w:val="0"/>
      </w:pPr>
      <w:bookmarkStart w:id="74" w:name="_Toc199776158"/>
      <w:bookmarkStart w:id="75" w:name="_Toc199776140"/>
      <w:bookmarkStart w:id="76" w:name="_Toc10867"/>
      <w:bookmarkStart w:id="77" w:name="_Toc31198"/>
      <w:r>
        <w:rPr>
          <w:rFonts w:hint="eastAsia"/>
        </w:rPr>
        <w:t>精密</w:t>
      </w:r>
      <w:bookmarkEnd w:id="74"/>
      <w:bookmarkEnd w:id="75"/>
      <w:r>
        <w:rPr>
          <w:rFonts w:hint="eastAsia"/>
          <w:lang w:val="en-US" w:eastAsia="zh-CN"/>
        </w:rPr>
        <w:t>度</w:t>
      </w:r>
      <w:bookmarkEnd w:id="76"/>
      <w:bookmarkEnd w:id="77"/>
    </w:p>
    <w:p>
      <w:pPr>
        <w:pStyle w:val="56"/>
        <w:rPr>
          <w:rFonts w:hint="eastAsia" w:ascii="宋体" w:hAnsi="宋体" w:eastAsia="宋体" w:cs="宋体"/>
        </w:rPr>
      </w:pPr>
      <w:r>
        <w:rPr>
          <w:rFonts w:hint="eastAsia" w:ascii="宋体" w:hAnsi="宋体" w:eastAsia="宋体" w:cs="宋体"/>
        </w:rPr>
        <w:t>在同一实验室，由同一操作者使用相同设备，按相同的测试方法</w:t>
      </w:r>
      <w:r>
        <w:rPr>
          <w:rFonts w:hint="eastAsia" w:ascii="宋体" w:hAnsi="宋体" w:eastAsia="宋体" w:cs="宋体"/>
          <w:lang w:val="en-US" w:eastAsia="zh-CN"/>
        </w:rPr>
        <w:t>对同一含硼水样中的锌浓度进行测定，其重复性相对标准偏差不超过10%</w:t>
      </w:r>
      <w:r>
        <w:rPr>
          <w:rFonts w:hint="eastAsia" w:ascii="宋体" w:hAnsi="宋体" w:eastAsia="宋体" w:cs="宋体"/>
        </w:rPr>
        <w:t>。</w:t>
      </w:r>
    </w:p>
    <w:p>
      <w:pPr>
        <w:pStyle w:val="56"/>
        <w:ind w:firstLine="420"/>
        <w:rPr>
          <w:rFonts w:hint="eastAsia" w:ascii="宋体" w:hAnsi="宋体" w:eastAsia="宋体" w:cs="宋体"/>
          <w:lang w:val="en-US" w:eastAsia="zh-CN"/>
        </w:rPr>
      </w:pPr>
      <w:r>
        <w:rPr>
          <w:rFonts w:hint="eastAsia" w:ascii="宋体" w:hAnsi="宋体" w:eastAsia="宋体" w:cs="宋体"/>
        </w:rPr>
        <w:t>在不同实验室，由不同操作者使用不同设备，按相同的测试方法</w:t>
      </w:r>
      <w:r>
        <w:rPr>
          <w:rFonts w:hint="eastAsia" w:ascii="宋体" w:hAnsi="宋体" w:eastAsia="宋体" w:cs="宋体"/>
          <w:lang w:val="en-US" w:eastAsia="zh-CN"/>
        </w:rPr>
        <w:t>对同一含硼水样中的锌浓度进行测定，其再现性相对标准偏差不超过10%。</w:t>
      </w:r>
    </w:p>
    <w:p>
      <w:pPr>
        <w:pStyle w:val="104"/>
        <w:bidi w:val="0"/>
        <w:rPr>
          <w:rFonts w:hint="eastAsia"/>
          <w:lang w:val="en-US" w:eastAsia="zh-CN"/>
        </w:rPr>
      </w:pPr>
      <w:bookmarkStart w:id="78" w:name="_Toc9481"/>
      <w:bookmarkStart w:id="79" w:name="_Toc10525"/>
      <w:r>
        <w:rPr>
          <w:rFonts w:hint="eastAsia"/>
        </w:rPr>
        <w:t>质量保证和</w:t>
      </w:r>
      <w:r>
        <w:rPr>
          <w:rFonts w:hint="eastAsia"/>
          <w:lang w:val="en-US" w:eastAsia="zh-CN"/>
        </w:rPr>
        <w:t>控制</w:t>
      </w:r>
      <w:bookmarkEnd w:id="78"/>
      <w:bookmarkEnd w:id="79"/>
    </w:p>
    <w:p>
      <w:pPr>
        <w:pStyle w:val="56"/>
        <w:ind w:firstLine="420"/>
      </w:pPr>
      <w:r>
        <w:rPr>
          <w:rFonts w:hint="eastAsia" w:ascii="宋体" w:hAnsi="宋体" w:eastAsia="宋体" w:cs="宋体"/>
        </w:rPr>
        <w:t>每分析10个样品，应分析1</w:t>
      </w:r>
      <w:r>
        <w:rPr>
          <w:rFonts w:hint="eastAsia" w:ascii="宋体" w:hAnsi="宋体" w:eastAsia="宋体" w:cs="宋体"/>
          <w:lang w:val="en-US" w:eastAsia="zh-CN"/>
        </w:rPr>
        <w:t>5</w:t>
      </w:r>
      <w:r>
        <w:rPr>
          <w:rFonts w:hint="eastAsia" w:ascii="宋体" w:hAnsi="宋体" w:eastAsia="宋体" w:cs="宋体"/>
        </w:rPr>
        <w:t>.00</w:t>
      </w:r>
      <w:r>
        <w:rPr>
          <w:rFonts w:hint="eastAsia" w:ascii="宋体" w:hAnsi="宋体" w:eastAsia="宋体" w:cs="宋体"/>
          <w:lang w:eastAsia="zh-CN"/>
        </w:rPr>
        <w:t>μg/L</w:t>
      </w:r>
      <w:r>
        <w:rPr>
          <w:rFonts w:hint="eastAsia" w:ascii="宋体" w:hAnsi="宋体" w:eastAsia="宋体" w:cs="宋体"/>
        </w:rPr>
        <w:t>的质控溶液，若测量结果与质控溶液浓度值偏差＞10%，则应重新绘制</w:t>
      </w:r>
      <w:r>
        <w:rPr>
          <w:rFonts w:hint="eastAsia" w:ascii="宋体" w:hAnsi="宋体" w:eastAsia="宋体" w:cs="宋体"/>
          <w:lang w:val="en-US" w:eastAsia="zh-CN"/>
        </w:rPr>
        <w:t>工作标准</w:t>
      </w:r>
      <w:r>
        <w:rPr>
          <w:rFonts w:hint="eastAsia" w:ascii="宋体" w:hAnsi="宋体" w:eastAsia="宋体" w:cs="宋体"/>
        </w:rPr>
        <w:t>曲线</w:t>
      </w:r>
      <w:r>
        <w:rPr>
          <w:rFonts w:hint="eastAsia" w:ascii="宋体" w:hAnsi="宋体" w:eastAsia="宋体" w:cs="宋体"/>
          <w:lang w:eastAsia="zh-CN"/>
        </w:rPr>
        <w:t>。</w:t>
      </w:r>
    </w:p>
    <w:p>
      <w:pPr>
        <w:pStyle w:val="104"/>
        <w:bidi w:val="0"/>
      </w:pPr>
      <w:bookmarkStart w:id="80" w:name="_Toc9480"/>
      <w:bookmarkStart w:id="81" w:name="_Toc6316"/>
      <w:r>
        <w:rPr>
          <w:rFonts w:hint="eastAsia" w:ascii="Arial" w:hAnsi="Arial" w:cs="Arial"/>
          <w:lang w:val="en-US" w:eastAsia="zh-CN"/>
        </w:rPr>
        <w:t>试验报告</w:t>
      </w:r>
      <w:bookmarkEnd w:id="80"/>
      <w:bookmarkEnd w:id="81"/>
    </w:p>
    <w:p>
      <w:pPr>
        <w:pStyle w:val="56"/>
        <w:ind w:firstLine="420"/>
      </w:pPr>
      <w:r>
        <w:rPr>
          <w:rFonts w:hint="eastAsia"/>
        </w:rPr>
        <w:t>试验报告至少应给出以下几个方面的内容：</w:t>
      </w:r>
    </w:p>
    <w:p>
      <w:pPr>
        <w:pStyle w:val="230"/>
      </w:pPr>
      <w:r>
        <w:rPr>
          <w:rFonts w:hint="eastAsia"/>
        </w:rPr>
        <w:t>——试验对象；</w:t>
      </w:r>
    </w:p>
    <w:p>
      <w:pPr>
        <w:pStyle w:val="230"/>
      </w:pPr>
      <w:r>
        <w:rPr>
          <w:rFonts w:hint="eastAsia"/>
        </w:rPr>
        <w:t>——试验日期；</w:t>
      </w:r>
    </w:p>
    <w:p>
      <w:pPr>
        <w:pStyle w:val="230"/>
      </w:pPr>
      <w:r>
        <w:rPr>
          <w:rFonts w:hint="eastAsia"/>
        </w:rPr>
        <w:t>——试验结果；</w:t>
      </w:r>
    </w:p>
    <w:p>
      <w:pPr>
        <w:pStyle w:val="230"/>
      </w:pPr>
      <w:r>
        <w:rPr>
          <w:rFonts w:hint="eastAsia"/>
        </w:rPr>
        <w:t>——观察到的异常现象</w:t>
      </w:r>
      <w:r>
        <w:rPr>
          <w:rFonts w:hint="eastAsia"/>
          <w:lang w:eastAsia="zh-CN"/>
        </w:rPr>
        <w:t>；</w:t>
      </w:r>
    </w:p>
    <w:p>
      <w:pPr>
        <w:pStyle w:val="56"/>
        <w:ind w:firstLine="420"/>
      </w:pPr>
      <w:r>
        <w:rPr>
          <w:rFonts w:hint="eastAsia"/>
        </w:rPr>
        <w:t>——分析人员和审核人员的姓名</w:t>
      </w:r>
      <w:r>
        <w:rPr>
          <w:rFonts w:hint="eastAsia" w:ascii="宋体" w:hAnsi="宋体" w:eastAsia="宋体" w:cs="宋体"/>
          <w:kern w:val="0"/>
          <w:szCs w:val="21"/>
        </w:rPr>
        <w:t>。</w:t>
      </w: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pPr>
    </w:p>
    <w:p>
      <w:pPr>
        <w:pStyle w:val="56"/>
        <w:bidi w:val="0"/>
      </w:pPr>
    </w:p>
    <w:p>
      <w:pPr>
        <w:pStyle w:val="56"/>
        <w:bidi w:val="0"/>
        <w:sectPr>
          <w:pgSz w:w="11906" w:h="16838"/>
          <w:pgMar w:top="1928" w:right="1134" w:bottom="1134" w:left="1134" w:header="1418" w:footer="1134" w:gutter="284"/>
          <w:pgNumType w:start="1"/>
          <w:cols w:space="425" w:num="1"/>
          <w:formProt w:val="0"/>
          <w:docGrid w:linePitch="312" w:charSpace="0"/>
        </w:sectPr>
      </w:pPr>
    </w:p>
    <w:bookmarkEnd w:id="26"/>
    <w:p>
      <w:pPr>
        <w:pStyle w:val="198"/>
        <w:bidi w:val="0"/>
      </w:pPr>
      <w:bookmarkStart w:id="82" w:name="BookMark5"/>
    </w:p>
    <w:p>
      <w:pPr>
        <w:pStyle w:val="199"/>
        <w:bidi w:val="0"/>
      </w:pPr>
    </w:p>
    <w:p>
      <w:pPr>
        <w:pStyle w:val="76"/>
        <w:bidi w:val="0"/>
      </w:pPr>
      <w:bookmarkStart w:id="83" w:name="_Toc26753"/>
      <w:bookmarkStart w:id="84" w:name="_Toc9795"/>
      <w:r>
        <w:br w:type="textWrapping"/>
      </w:r>
      <w:r>
        <w:rPr>
          <w:rFonts w:hint="eastAsia"/>
          <w:lang w:eastAsia="zh-CN"/>
        </w:rPr>
        <w:t>（规范性）</w:t>
      </w:r>
      <w:r>
        <w:rPr>
          <w:rFonts w:hint="eastAsia"/>
          <w:lang w:eastAsia="zh-CN"/>
        </w:rPr>
        <w:br w:type="textWrapping"/>
      </w:r>
      <w:r>
        <w:rPr>
          <w:rFonts w:hint="eastAsia"/>
          <w:lang w:eastAsia="zh-CN"/>
        </w:rPr>
        <w:t>含硼水中锌浓度测定的参考离子色谱条件</w:t>
      </w:r>
      <w:bookmarkEnd w:id="83"/>
      <w:bookmarkEnd w:id="84"/>
    </w:p>
    <w:p>
      <w:pPr>
        <w:pStyle w:val="56"/>
        <w:bidi w:val="0"/>
      </w:pPr>
    </w:p>
    <w:p>
      <w:pPr>
        <w:pStyle w:val="78"/>
        <w:bidi w:val="0"/>
      </w:pPr>
      <w:bookmarkStart w:id="85" w:name="_Toc19434"/>
      <w:r>
        <w:rPr>
          <w:rFonts w:hint="eastAsia" w:ascii="黑体" w:hAnsi="黑体" w:eastAsia="黑体" w:cs="黑体"/>
          <w:kern w:val="0"/>
          <w:szCs w:val="21"/>
        </w:rPr>
        <w:t>含硼水中锌浓度测定的参考离子色谱条件</w:t>
      </w:r>
      <w:bookmarkEnd w:id="85"/>
    </w:p>
    <w:p>
      <w:pPr>
        <w:ind w:firstLine="420" w:firstLineChars="200"/>
        <w:jc w:val="both"/>
        <w:rPr>
          <w:rFonts w:ascii="宋体" w:hAnsi="宋体" w:eastAsia="宋体" w:cs="Times New Roman"/>
          <w:kern w:val="0"/>
          <w:szCs w:val="21"/>
        </w:rPr>
      </w:pPr>
      <w:r>
        <w:rPr>
          <w:rFonts w:hint="eastAsia" w:ascii="宋体" w:hAnsi="宋体" w:eastAsia="宋体" w:cs="Times New Roman"/>
          <w:kern w:val="0"/>
          <w:szCs w:val="21"/>
        </w:rPr>
        <w:t>含硼水中锌浓度测定的参考离子色谱条件见</w:t>
      </w:r>
      <w:r>
        <w:rPr>
          <w:rFonts w:hint="default" w:ascii="Times New Roman" w:hAnsi="Times New Roman" w:eastAsia="宋体" w:cs="Times New Roman"/>
          <w:b w:val="0"/>
          <w:bCs w:val="0"/>
          <w:kern w:val="0"/>
          <w:szCs w:val="21"/>
        </w:rPr>
        <w:t>A</w:t>
      </w:r>
      <w:r>
        <w:rPr>
          <w:rFonts w:hint="default" w:ascii="Times New Roman" w:hAnsi="Times New Roman" w:eastAsia="宋体" w:cs="Times New Roman"/>
          <w:kern w:val="0"/>
          <w:szCs w:val="21"/>
        </w:rPr>
        <w:t>.1</w:t>
      </w:r>
      <w:r>
        <w:rPr>
          <w:rFonts w:ascii="宋体" w:hAnsi="宋体" w:eastAsia="宋体" w:cs="Times New Roman"/>
          <w:kern w:val="0"/>
          <w:szCs w:val="21"/>
        </w:rPr>
        <w:t>。</w:t>
      </w:r>
    </w:p>
    <w:p>
      <w:pPr>
        <w:pStyle w:val="77"/>
        <w:bidi w:val="0"/>
      </w:pPr>
      <w:r>
        <w:rPr>
          <w:rFonts w:hint="eastAsia" w:ascii="黑体" w:hAnsi="黑体" w:eastAsia="黑体" w:cs="黑体"/>
          <w:spacing w:val="-3"/>
          <w:kern w:val="0"/>
          <w:szCs w:val="21"/>
          <w:lang w:eastAsia="en-US"/>
        </w:rPr>
        <w:t>含硼水中锌浓度测定的参考离子色谱条件</w:t>
      </w:r>
    </w:p>
    <w:tbl>
      <w:tblPr>
        <w:tblStyle w:val="27"/>
        <w:tblW w:w="92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25"/>
        <w:gridCol w:w="1675"/>
        <w:gridCol w:w="53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17" w:hRule="atLeast"/>
          <w:tblHeader/>
          <w:jc w:val="center"/>
        </w:trPr>
        <w:tc>
          <w:tcPr>
            <w:tcW w:w="2225" w:type="dxa"/>
            <w:tcBorders>
              <w:top w:val="single" w:color="auto" w:sz="8" w:space="0"/>
              <w:bottom w:val="single" w:color="auto" w:sz="8" w:space="0"/>
            </w:tcBorders>
            <w:shd w:val="clear" w:color="auto" w:fill="auto"/>
            <w:vAlign w:val="center"/>
          </w:tcPr>
          <w:p>
            <w:pPr>
              <w:pStyle w:val="178"/>
              <w:rPr>
                <w:szCs w:val="18"/>
              </w:rPr>
            </w:pPr>
            <w:r>
              <w:rPr>
                <w:rFonts w:hint="eastAsia"/>
                <w:szCs w:val="18"/>
              </w:rPr>
              <w:t>项目</w:t>
            </w:r>
          </w:p>
        </w:tc>
        <w:tc>
          <w:tcPr>
            <w:tcW w:w="6975" w:type="dxa"/>
            <w:gridSpan w:val="2"/>
            <w:tcBorders>
              <w:top w:val="single" w:color="auto" w:sz="8" w:space="0"/>
              <w:bottom w:val="single" w:color="auto" w:sz="8" w:space="0"/>
            </w:tcBorders>
            <w:shd w:val="clear" w:color="auto" w:fill="auto"/>
            <w:vAlign w:val="center"/>
          </w:tcPr>
          <w:p>
            <w:pPr>
              <w:pStyle w:val="178"/>
              <w:rPr>
                <w:szCs w:val="18"/>
              </w:rPr>
            </w:pPr>
            <w:r>
              <w:rPr>
                <w:rFonts w:hint="eastAsia"/>
                <w:szCs w:val="18"/>
              </w:rPr>
              <w:t>参数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9" w:hRule="atLeast"/>
          <w:jc w:val="center"/>
        </w:trPr>
        <w:tc>
          <w:tcPr>
            <w:tcW w:w="2225" w:type="dxa"/>
            <w:vMerge w:val="restart"/>
            <w:tcBorders>
              <w:top w:val="single" w:color="auto" w:sz="8" w:space="0"/>
            </w:tcBorders>
            <w:shd w:val="clear" w:color="auto" w:fill="auto"/>
            <w:vAlign w:val="center"/>
          </w:tcPr>
          <w:p>
            <w:pPr>
              <w:pStyle w:val="178"/>
              <w:rPr>
                <w:szCs w:val="18"/>
              </w:rPr>
            </w:pPr>
            <w:r>
              <w:rPr>
                <w:rFonts w:hint="eastAsia"/>
                <w:szCs w:val="18"/>
              </w:rPr>
              <w:t>进样系统</w:t>
            </w:r>
          </w:p>
        </w:tc>
        <w:tc>
          <w:tcPr>
            <w:tcW w:w="1675" w:type="dxa"/>
            <w:tcBorders>
              <w:top w:val="single" w:color="auto" w:sz="8" w:space="0"/>
            </w:tcBorders>
            <w:shd w:val="clear" w:color="auto" w:fill="auto"/>
            <w:vAlign w:val="center"/>
          </w:tcPr>
          <w:p>
            <w:pPr>
              <w:pStyle w:val="178"/>
              <w:rPr>
                <w:rFonts w:hint="eastAsia" w:eastAsia="宋体"/>
                <w:szCs w:val="18"/>
                <w:highlight w:val="none"/>
                <w:lang w:val="en-US" w:eastAsia="zh-CN"/>
              </w:rPr>
            </w:pPr>
            <w:r>
              <w:rPr>
                <w:rFonts w:hint="eastAsia"/>
                <w:szCs w:val="18"/>
                <w:highlight w:val="none"/>
              </w:rPr>
              <w:t>进样量/</w:t>
            </w:r>
            <w:r>
              <w:rPr>
                <w:rFonts w:hint="eastAsia"/>
                <w:szCs w:val="18"/>
                <w:highlight w:val="none"/>
                <w:lang w:val="en-US" w:eastAsia="zh-CN"/>
              </w:rPr>
              <w:t>mL</w:t>
            </w:r>
          </w:p>
        </w:tc>
        <w:tc>
          <w:tcPr>
            <w:tcW w:w="5300" w:type="dxa"/>
            <w:tcBorders>
              <w:top w:val="single" w:color="auto" w:sz="8" w:space="0"/>
            </w:tcBorders>
            <w:shd w:val="clear" w:color="auto" w:fill="auto"/>
            <w:vAlign w:val="center"/>
          </w:tcPr>
          <w:p>
            <w:pPr>
              <w:pStyle w:val="178"/>
              <w:rPr>
                <w:rFonts w:hint="default" w:eastAsia="宋体"/>
                <w:szCs w:val="18"/>
                <w:highlight w:val="none"/>
                <w:lang w:val="en-US" w:eastAsia="zh-CN"/>
              </w:rPr>
            </w:pPr>
            <w:r>
              <w:rPr>
                <w:rFonts w:hint="eastAsia"/>
                <w:szCs w:val="18"/>
                <w:highlight w:val="none"/>
              </w:rPr>
              <w:t>20</w:t>
            </w:r>
            <w:r>
              <w:rPr>
                <w:rFonts w:hint="eastAsia"/>
                <w:szCs w:val="18"/>
                <w:highlight w:val="none"/>
                <w:lang w:val="en-US" w:eastAsia="zh-CN"/>
              </w:rPr>
              <w:t>(使用前置柱富集进样）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4" w:hRule="atLeast"/>
          <w:jc w:val="center"/>
        </w:trPr>
        <w:tc>
          <w:tcPr>
            <w:tcW w:w="2225" w:type="dxa"/>
            <w:vMerge w:val="continue"/>
            <w:shd w:val="clear" w:color="auto" w:fill="auto"/>
            <w:vAlign w:val="center"/>
          </w:tcPr>
          <w:p>
            <w:pPr>
              <w:pStyle w:val="178"/>
              <w:rPr>
                <w:szCs w:val="18"/>
              </w:rPr>
            </w:pPr>
          </w:p>
        </w:tc>
        <w:tc>
          <w:tcPr>
            <w:tcW w:w="1675" w:type="dxa"/>
            <w:shd w:val="clear" w:color="auto" w:fill="auto"/>
            <w:vAlign w:val="center"/>
          </w:tcPr>
          <w:p>
            <w:pPr>
              <w:pStyle w:val="178"/>
              <w:rPr>
                <w:rFonts w:hint="eastAsia" w:eastAsia="宋体"/>
                <w:szCs w:val="18"/>
                <w:lang w:val="en-US" w:eastAsia="zh-CN"/>
              </w:rPr>
            </w:pPr>
            <w:r>
              <w:rPr>
                <w:rFonts w:hint="eastAsia"/>
                <w:szCs w:val="18"/>
              </w:rPr>
              <w:t>富集流速</w:t>
            </w:r>
            <w:r>
              <w:rPr>
                <w:rFonts w:hint="eastAsia"/>
                <w:szCs w:val="18"/>
                <w:lang w:val="en-US" w:eastAsia="zh-CN"/>
              </w:rPr>
              <w:t>/(</w:t>
            </w:r>
            <w:r>
              <w:rPr>
                <w:rFonts w:hint="eastAsia"/>
                <w:szCs w:val="18"/>
              </w:rPr>
              <w:t>mL/min</w:t>
            </w:r>
            <w:r>
              <w:rPr>
                <w:rFonts w:hint="eastAsia"/>
                <w:szCs w:val="18"/>
                <w:lang w:val="en-US" w:eastAsia="zh-CN"/>
              </w:rPr>
              <w:t>)</w:t>
            </w:r>
          </w:p>
        </w:tc>
        <w:tc>
          <w:tcPr>
            <w:tcW w:w="5300" w:type="dxa"/>
            <w:shd w:val="clear" w:color="auto" w:fill="auto"/>
            <w:vAlign w:val="center"/>
          </w:tcPr>
          <w:p>
            <w:pPr>
              <w:pStyle w:val="178"/>
              <w:rPr>
                <w:szCs w:val="18"/>
              </w:rPr>
            </w:pPr>
            <w:r>
              <w:rPr>
                <w:rFonts w:hint="eastAsia"/>
                <w:szCs w:val="18"/>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220" w:hRule="atLeast"/>
          <w:jc w:val="center"/>
        </w:trPr>
        <w:tc>
          <w:tcPr>
            <w:tcW w:w="2225" w:type="dxa"/>
            <w:vMerge w:val="restart"/>
            <w:shd w:val="clear" w:color="auto" w:fill="auto"/>
            <w:vAlign w:val="center"/>
          </w:tcPr>
          <w:p>
            <w:pPr>
              <w:pStyle w:val="178"/>
              <w:rPr>
                <w:szCs w:val="18"/>
              </w:rPr>
            </w:pPr>
            <w:r>
              <w:rPr>
                <w:rFonts w:hint="eastAsia"/>
                <w:szCs w:val="18"/>
              </w:rPr>
              <w:t>色谱柱系统</w:t>
            </w:r>
          </w:p>
        </w:tc>
        <w:tc>
          <w:tcPr>
            <w:tcW w:w="1675" w:type="dxa"/>
            <w:shd w:val="clear" w:color="auto" w:fill="auto"/>
            <w:vAlign w:val="center"/>
          </w:tcPr>
          <w:p>
            <w:pPr>
              <w:pStyle w:val="178"/>
              <w:rPr>
                <w:szCs w:val="18"/>
              </w:rPr>
            </w:pPr>
            <w:r>
              <w:rPr>
                <w:rFonts w:hint="eastAsia"/>
                <w:szCs w:val="18"/>
              </w:rPr>
              <w:t>分析柱</w:t>
            </w:r>
          </w:p>
        </w:tc>
        <w:tc>
          <w:tcPr>
            <w:tcW w:w="5300" w:type="dxa"/>
            <w:shd w:val="clear" w:color="auto" w:fill="auto"/>
            <w:vAlign w:val="center"/>
          </w:tcPr>
          <w:p>
            <w:pPr>
              <w:pStyle w:val="178"/>
              <w:rPr>
                <w:szCs w:val="18"/>
              </w:rPr>
            </w:pPr>
            <w:r>
              <w:rPr>
                <w:rFonts w:hint="eastAsia"/>
                <w:szCs w:val="18"/>
              </w:rPr>
              <w:t>聚乙基乙烯基苯与二乙烯基苯，交联度55%，接枝羧酸官能团。长250mm、内径4mm，或其他等效阳离子色谱柱。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4" w:hRule="atLeast"/>
          <w:jc w:val="center"/>
        </w:trPr>
        <w:tc>
          <w:tcPr>
            <w:tcW w:w="2225" w:type="dxa"/>
            <w:vMerge w:val="continue"/>
            <w:shd w:val="clear" w:color="auto" w:fill="auto"/>
            <w:vAlign w:val="center"/>
          </w:tcPr>
          <w:p>
            <w:pPr>
              <w:pStyle w:val="178"/>
              <w:rPr>
                <w:szCs w:val="18"/>
              </w:rPr>
            </w:pPr>
          </w:p>
        </w:tc>
        <w:tc>
          <w:tcPr>
            <w:tcW w:w="1675" w:type="dxa"/>
            <w:shd w:val="clear" w:color="auto" w:fill="auto"/>
            <w:vAlign w:val="center"/>
          </w:tcPr>
          <w:p>
            <w:pPr>
              <w:pStyle w:val="178"/>
              <w:rPr>
                <w:rFonts w:hint="eastAsia" w:eastAsia="宋体"/>
                <w:szCs w:val="18"/>
                <w:lang w:eastAsia="zh-CN"/>
              </w:rPr>
            </w:pPr>
            <w:r>
              <w:rPr>
                <w:rFonts w:hint="eastAsia"/>
                <w:szCs w:val="18"/>
              </w:rPr>
              <w:t>前置</w:t>
            </w:r>
            <w:r>
              <w:rPr>
                <w:rFonts w:hint="eastAsia"/>
                <w:szCs w:val="18"/>
                <w:lang w:val="en-US" w:eastAsia="zh-CN"/>
              </w:rPr>
              <w:t>柱</w:t>
            </w:r>
          </w:p>
        </w:tc>
        <w:tc>
          <w:tcPr>
            <w:tcW w:w="5300" w:type="dxa"/>
            <w:shd w:val="clear" w:color="auto" w:fill="auto"/>
            <w:vAlign w:val="center"/>
          </w:tcPr>
          <w:p>
            <w:pPr>
              <w:pStyle w:val="178"/>
              <w:rPr>
                <w:szCs w:val="18"/>
              </w:rPr>
            </w:pPr>
            <w:r>
              <w:rPr>
                <w:rFonts w:hint="eastAsia"/>
                <w:szCs w:val="18"/>
              </w:rPr>
              <w:t>聚乙基乙烯基苯与二乙烯基苯，交联度55%，接枝羧酸官能团。长50mm、内径4mm，或其他等效阳离子色谱柱。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9" w:hRule="atLeast"/>
          <w:jc w:val="center"/>
        </w:trPr>
        <w:tc>
          <w:tcPr>
            <w:tcW w:w="2225" w:type="dxa"/>
            <w:vMerge w:val="restart"/>
            <w:shd w:val="clear" w:color="auto" w:fill="auto"/>
            <w:vAlign w:val="center"/>
          </w:tcPr>
          <w:p>
            <w:pPr>
              <w:pStyle w:val="178"/>
              <w:rPr>
                <w:szCs w:val="18"/>
              </w:rPr>
            </w:pPr>
            <w:r>
              <w:rPr>
                <w:rFonts w:hint="eastAsia"/>
                <w:szCs w:val="18"/>
              </w:rPr>
              <w:t>检测系统</w:t>
            </w:r>
          </w:p>
        </w:tc>
        <w:tc>
          <w:tcPr>
            <w:tcW w:w="1675" w:type="dxa"/>
            <w:shd w:val="clear" w:color="auto" w:fill="auto"/>
            <w:vAlign w:val="center"/>
          </w:tcPr>
          <w:p>
            <w:pPr>
              <w:pStyle w:val="178"/>
              <w:rPr>
                <w:szCs w:val="18"/>
                <w:highlight w:val="none"/>
              </w:rPr>
            </w:pPr>
            <w:r>
              <w:rPr>
                <w:rFonts w:hint="eastAsia"/>
                <w:szCs w:val="18"/>
                <w:highlight w:val="none"/>
              </w:rPr>
              <w:t>温度/℃</w:t>
            </w:r>
          </w:p>
        </w:tc>
        <w:tc>
          <w:tcPr>
            <w:tcW w:w="5300" w:type="dxa"/>
            <w:shd w:val="clear" w:color="auto" w:fill="auto"/>
            <w:vAlign w:val="center"/>
          </w:tcPr>
          <w:p>
            <w:pPr>
              <w:pStyle w:val="178"/>
              <w:rPr>
                <w:rFonts w:hint="default" w:eastAsia="宋体"/>
                <w:szCs w:val="18"/>
                <w:highlight w:val="none"/>
                <w:lang w:val="en-US" w:eastAsia="zh-CN"/>
              </w:rPr>
            </w:pPr>
            <w:r>
              <w:rPr>
                <w:rFonts w:hint="eastAsia"/>
                <w:szCs w:val="18"/>
                <w:highlight w:val="none"/>
                <w:lang w:val="en-US" w:eastAsia="zh-CN"/>
              </w:rPr>
              <w:t>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4" w:hRule="atLeast"/>
          <w:jc w:val="center"/>
        </w:trPr>
        <w:tc>
          <w:tcPr>
            <w:tcW w:w="2225" w:type="dxa"/>
            <w:vMerge w:val="continue"/>
            <w:shd w:val="clear" w:color="auto" w:fill="auto"/>
            <w:vAlign w:val="center"/>
          </w:tcPr>
          <w:p>
            <w:pPr>
              <w:pStyle w:val="178"/>
              <w:rPr>
                <w:szCs w:val="18"/>
              </w:rPr>
            </w:pPr>
          </w:p>
        </w:tc>
        <w:tc>
          <w:tcPr>
            <w:tcW w:w="1675" w:type="dxa"/>
            <w:shd w:val="clear" w:color="auto" w:fill="auto"/>
            <w:vAlign w:val="center"/>
          </w:tcPr>
          <w:p>
            <w:pPr>
              <w:pStyle w:val="178"/>
              <w:rPr>
                <w:szCs w:val="18"/>
              </w:rPr>
            </w:pPr>
            <w:r>
              <w:rPr>
                <w:rFonts w:hint="eastAsia"/>
                <w:szCs w:val="18"/>
              </w:rPr>
              <w:t>检测器</w:t>
            </w:r>
          </w:p>
        </w:tc>
        <w:tc>
          <w:tcPr>
            <w:tcW w:w="5300" w:type="dxa"/>
            <w:shd w:val="clear" w:color="auto" w:fill="auto"/>
            <w:vAlign w:val="center"/>
          </w:tcPr>
          <w:p>
            <w:pPr>
              <w:pStyle w:val="178"/>
              <w:rPr>
                <w:szCs w:val="18"/>
              </w:rPr>
            </w:pPr>
            <w:r>
              <w:rPr>
                <w:rFonts w:hint="eastAsia"/>
                <w:szCs w:val="18"/>
              </w:rPr>
              <w:t>电导检测器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99" w:hRule="atLeast"/>
          <w:jc w:val="center"/>
        </w:trPr>
        <w:tc>
          <w:tcPr>
            <w:tcW w:w="2225" w:type="dxa"/>
            <w:vMerge w:val="restart"/>
            <w:shd w:val="clear" w:color="auto" w:fill="auto"/>
            <w:vAlign w:val="center"/>
          </w:tcPr>
          <w:p>
            <w:pPr>
              <w:pStyle w:val="178"/>
              <w:rPr>
                <w:szCs w:val="18"/>
              </w:rPr>
            </w:pPr>
            <w:r>
              <w:rPr>
                <w:rFonts w:hint="eastAsia"/>
                <w:szCs w:val="18"/>
              </w:rPr>
              <w:t>洗脱系统</w:t>
            </w:r>
          </w:p>
        </w:tc>
        <w:tc>
          <w:tcPr>
            <w:tcW w:w="1675" w:type="dxa"/>
            <w:shd w:val="clear" w:color="auto" w:fill="auto"/>
            <w:vAlign w:val="center"/>
          </w:tcPr>
          <w:p>
            <w:pPr>
              <w:pStyle w:val="178"/>
              <w:rPr>
                <w:szCs w:val="18"/>
              </w:rPr>
            </w:pPr>
            <w:r>
              <w:rPr>
                <w:rFonts w:hint="eastAsia"/>
                <w:szCs w:val="18"/>
              </w:rPr>
              <w:t>洗脱剂</w:t>
            </w:r>
          </w:p>
        </w:tc>
        <w:tc>
          <w:tcPr>
            <w:tcW w:w="5300" w:type="dxa"/>
            <w:shd w:val="clear" w:color="auto" w:fill="auto"/>
            <w:vAlign w:val="center"/>
          </w:tcPr>
          <w:p>
            <w:pPr>
              <w:pStyle w:val="178"/>
              <w:rPr>
                <w:szCs w:val="18"/>
              </w:rPr>
            </w:pPr>
            <w:r>
              <w:rPr>
                <w:rFonts w:hint="eastAsia" w:hAnsi="宋体"/>
                <w:szCs w:val="18"/>
              </w:rPr>
              <w:t>甲基磺酸-草酸洗脱剂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4" w:hRule="atLeast"/>
          <w:jc w:val="center"/>
        </w:trPr>
        <w:tc>
          <w:tcPr>
            <w:tcW w:w="2225" w:type="dxa"/>
            <w:vMerge w:val="continue"/>
            <w:shd w:val="clear" w:color="auto" w:fill="auto"/>
            <w:vAlign w:val="center"/>
          </w:tcPr>
          <w:p>
            <w:pPr>
              <w:pStyle w:val="178"/>
              <w:rPr>
                <w:szCs w:val="18"/>
              </w:rPr>
            </w:pPr>
          </w:p>
        </w:tc>
        <w:tc>
          <w:tcPr>
            <w:tcW w:w="1675" w:type="dxa"/>
            <w:shd w:val="clear" w:color="auto" w:fill="auto"/>
            <w:vAlign w:val="center"/>
          </w:tcPr>
          <w:p>
            <w:pPr>
              <w:pStyle w:val="178"/>
              <w:rPr>
                <w:szCs w:val="18"/>
              </w:rPr>
            </w:pPr>
            <w:r>
              <w:rPr>
                <w:rFonts w:hint="eastAsia"/>
                <w:szCs w:val="18"/>
              </w:rPr>
              <w:t>流速/（mL/min）</w:t>
            </w:r>
          </w:p>
        </w:tc>
        <w:tc>
          <w:tcPr>
            <w:tcW w:w="5300" w:type="dxa"/>
            <w:shd w:val="clear" w:color="auto" w:fill="auto"/>
            <w:vAlign w:val="center"/>
          </w:tcPr>
          <w:p>
            <w:pPr>
              <w:pStyle w:val="178"/>
              <w:rPr>
                <w:szCs w:val="18"/>
              </w:rPr>
            </w:pPr>
            <w:r>
              <w:rPr>
                <w:rFonts w:hint="eastAsia"/>
                <w:szCs w:val="18"/>
              </w:rP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4" w:hRule="atLeast"/>
          <w:jc w:val="center"/>
        </w:trPr>
        <w:tc>
          <w:tcPr>
            <w:tcW w:w="2225" w:type="dxa"/>
            <w:vMerge w:val="continue"/>
            <w:shd w:val="clear" w:color="auto" w:fill="auto"/>
            <w:vAlign w:val="center"/>
          </w:tcPr>
          <w:p>
            <w:pPr>
              <w:pStyle w:val="178"/>
              <w:rPr>
                <w:szCs w:val="18"/>
              </w:rPr>
            </w:pPr>
          </w:p>
        </w:tc>
        <w:tc>
          <w:tcPr>
            <w:tcW w:w="1675" w:type="dxa"/>
            <w:shd w:val="clear" w:color="auto" w:fill="auto"/>
            <w:vAlign w:val="center"/>
          </w:tcPr>
          <w:p>
            <w:pPr>
              <w:pStyle w:val="178"/>
              <w:rPr>
                <w:szCs w:val="18"/>
              </w:rPr>
            </w:pPr>
            <w:r>
              <w:rPr>
                <w:rFonts w:hint="eastAsia"/>
                <w:szCs w:val="18"/>
              </w:rPr>
              <w:t>洗脱方式</w:t>
            </w:r>
          </w:p>
        </w:tc>
        <w:tc>
          <w:tcPr>
            <w:tcW w:w="5300" w:type="dxa"/>
            <w:shd w:val="clear" w:color="auto" w:fill="auto"/>
            <w:vAlign w:val="center"/>
          </w:tcPr>
          <w:p>
            <w:pPr>
              <w:pStyle w:val="178"/>
              <w:rPr>
                <w:szCs w:val="18"/>
              </w:rPr>
            </w:pPr>
            <w:r>
              <w:rPr>
                <w:rFonts w:hint="eastAsia"/>
                <w:szCs w:val="18"/>
              </w:rPr>
              <w:t>等度洗脱</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4" w:hRule="atLeast"/>
          <w:jc w:val="center"/>
        </w:trPr>
        <w:tc>
          <w:tcPr>
            <w:tcW w:w="2225" w:type="dxa"/>
            <w:vMerge w:val="continue"/>
            <w:shd w:val="clear" w:color="auto" w:fill="auto"/>
            <w:vAlign w:val="center"/>
          </w:tcPr>
          <w:p>
            <w:pPr>
              <w:pStyle w:val="178"/>
              <w:rPr>
                <w:szCs w:val="18"/>
              </w:rPr>
            </w:pPr>
          </w:p>
        </w:tc>
        <w:tc>
          <w:tcPr>
            <w:tcW w:w="1675" w:type="dxa"/>
            <w:shd w:val="clear" w:color="auto" w:fill="auto"/>
            <w:vAlign w:val="center"/>
          </w:tcPr>
          <w:p>
            <w:pPr>
              <w:pStyle w:val="178"/>
              <w:rPr>
                <w:szCs w:val="18"/>
              </w:rPr>
            </w:pPr>
            <w:r>
              <w:rPr>
                <w:rFonts w:hint="eastAsia"/>
                <w:szCs w:val="18"/>
              </w:rPr>
              <w:t>时间/min</w:t>
            </w:r>
          </w:p>
        </w:tc>
        <w:tc>
          <w:tcPr>
            <w:tcW w:w="5300" w:type="dxa"/>
            <w:shd w:val="clear" w:color="auto" w:fill="auto"/>
            <w:vAlign w:val="center"/>
          </w:tcPr>
          <w:p>
            <w:pPr>
              <w:pStyle w:val="178"/>
              <w:rPr>
                <w:rFonts w:hint="default" w:eastAsia="宋体"/>
                <w:szCs w:val="18"/>
                <w:lang w:val="en-US" w:eastAsia="zh-CN"/>
              </w:rPr>
            </w:pPr>
            <w:r>
              <w:rPr>
                <w:rFonts w:hint="eastAsia"/>
                <w:szCs w:val="18"/>
                <w:lang w:val="en-US" w:eastAsia="zh-CN"/>
              </w:rPr>
              <w:t>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74" w:hRule="atLeast"/>
          <w:jc w:val="center"/>
        </w:trPr>
        <w:tc>
          <w:tcPr>
            <w:tcW w:w="2225" w:type="dxa"/>
            <w:vMerge w:val="continue"/>
            <w:shd w:val="clear" w:color="auto" w:fill="auto"/>
            <w:vAlign w:val="center"/>
          </w:tcPr>
          <w:p>
            <w:pPr>
              <w:pStyle w:val="178"/>
              <w:rPr>
                <w:szCs w:val="18"/>
              </w:rPr>
            </w:pPr>
          </w:p>
        </w:tc>
        <w:tc>
          <w:tcPr>
            <w:tcW w:w="1675" w:type="dxa"/>
            <w:shd w:val="clear" w:color="auto" w:fill="auto"/>
            <w:vAlign w:val="center"/>
          </w:tcPr>
          <w:p>
            <w:pPr>
              <w:pStyle w:val="178"/>
              <w:rPr>
                <w:szCs w:val="18"/>
              </w:rPr>
            </w:pPr>
            <w:r>
              <w:rPr>
                <w:rFonts w:hint="eastAsia"/>
                <w:szCs w:val="18"/>
              </w:rPr>
              <w:t>浓度/（mmol/L）</w:t>
            </w:r>
          </w:p>
        </w:tc>
        <w:tc>
          <w:tcPr>
            <w:tcW w:w="5300" w:type="dxa"/>
            <w:shd w:val="clear" w:color="auto" w:fill="auto"/>
            <w:vAlign w:val="center"/>
          </w:tcPr>
          <w:p>
            <w:pPr>
              <w:pStyle w:val="178"/>
              <w:rPr>
                <w:rFonts w:hint="default" w:eastAsia="宋体"/>
                <w:szCs w:val="18"/>
                <w:lang w:val="en-US" w:eastAsia="zh-CN"/>
              </w:rPr>
            </w:pPr>
            <w:r>
              <w:rPr>
                <w:rFonts w:hint="eastAsia" w:hAnsi="宋体"/>
                <w:szCs w:val="18"/>
              </w:rPr>
              <w:t>2.50</w:t>
            </w:r>
            <w:r>
              <w:rPr>
                <w:rFonts w:hint="eastAsia" w:hAnsi="宋体"/>
                <w:szCs w:val="18"/>
                <w:lang w:val="en-US" w:eastAsia="zh-CN"/>
              </w:rPr>
              <w:t>(</w:t>
            </w:r>
            <w:r>
              <w:rPr>
                <w:rFonts w:hint="eastAsia" w:hAnsi="宋体"/>
                <w:szCs w:val="18"/>
              </w:rPr>
              <w:t>甲基磺酸</w:t>
            </w:r>
            <w:r>
              <w:rPr>
                <w:rFonts w:hint="eastAsia" w:hAnsi="宋体"/>
                <w:szCs w:val="18"/>
                <w:lang w:val="en-US" w:eastAsia="zh-CN"/>
              </w:rPr>
              <w:t>)</w:t>
            </w:r>
            <w:r>
              <w:rPr>
                <w:rFonts w:hint="eastAsia" w:hAnsi="宋体"/>
                <w:szCs w:val="18"/>
              </w:rPr>
              <w:t>，0.80</w:t>
            </w:r>
            <w:r>
              <w:rPr>
                <w:rFonts w:hint="eastAsia" w:hAnsi="宋体"/>
                <w:szCs w:val="18"/>
                <w:lang w:val="en-US" w:eastAsia="zh-CN"/>
              </w:rPr>
              <w:t>(</w:t>
            </w:r>
            <w:r>
              <w:rPr>
                <w:rFonts w:hint="eastAsia" w:hAnsi="宋体"/>
                <w:szCs w:val="18"/>
              </w:rPr>
              <w:t>草酸</w:t>
            </w:r>
            <w:r>
              <w:rPr>
                <w:rFonts w:hint="eastAsia" w:hAnsi="宋体"/>
                <w:szCs w:val="18"/>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2" w:hRule="atLeast"/>
          <w:jc w:val="center"/>
        </w:trPr>
        <w:tc>
          <w:tcPr>
            <w:tcW w:w="2225" w:type="dxa"/>
            <w:shd w:val="clear" w:color="auto" w:fill="auto"/>
            <w:vAlign w:val="center"/>
          </w:tcPr>
          <w:p>
            <w:pPr>
              <w:pStyle w:val="178"/>
              <w:rPr>
                <w:szCs w:val="18"/>
              </w:rPr>
            </w:pPr>
            <w:r>
              <w:rPr>
                <w:rFonts w:hint="eastAsia"/>
                <w:szCs w:val="18"/>
              </w:rPr>
              <w:t>抑制装置</w:t>
            </w:r>
          </w:p>
        </w:tc>
        <w:tc>
          <w:tcPr>
            <w:tcW w:w="1675" w:type="dxa"/>
            <w:shd w:val="clear" w:color="auto" w:fill="auto"/>
            <w:vAlign w:val="center"/>
          </w:tcPr>
          <w:p>
            <w:pPr>
              <w:pStyle w:val="178"/>
              <w:rPr>
                <w:szCs w:val="18"/>
                <w:highlight w:val="none"/>
              </w:rPr>
            </w:pPr>
            <w:r>
              <w:rPr>
                <w:rFonts w:hint="eastAsia"/>
                <w:szCs w:val="18"/>
                <w:highlight w:val="none"/>
              </w:rPr>
              <w:t>电流/mA</w:t>
            </w:r>
          </w:p>
        </w:tc>
        <w:tc>
          <w:tcPr>
            <w:tcW w:w="5300" w:type="dxa"/>
            <w:shd w:val="clear" w:color="auto" w:fill="auto"/>
            <w:vAlign w:val="center"/>
          </w:tcPr>
          <w:p>
            <w:pPr>
              <w:pStyle w:val="178"/>
              <w:rPr>
                <w:rFonts w:hint="default" w:eastAsia="宋体"/>
                <w:szCs w:val="18"/>
                <w:highlight w:val="none"/>
                <w:lang w:val="en-US" w:eastAsia="zh-CN"/>
              </w:rPr>
            </w:pPr>
            <w:r>
              <w:rPr>
                <w:rFonts w:hint="eastAsia"/>
                <w:szCs w:val="18"/>
                <w:highlight w:val="none"/>
                <w:lang w:val="en-US" w:eastAsia="zh-CN"/>
              </w:rPr>
              <w:t>直接电导法，无</w:t>
            </w:r>
            <w:r>
              <w:rPr>
                <w:rFonts w:hint="eastAsia"/>
                <w:szCs w:val="18"/>
              </w:rPr>
              <w:t>抑制装置</w:t>
            </w:r>
          </w:p>
        </w:tc>
      </w:tr>
    </w:tbl>
    <w:p>
      <w:pPr>
        <w:pStyle w:val="56"/>
        <w:bidi w:val="0"/>
        <w:sectPr>
          <w:pgSz w:w="11906" w:h="16838"/>
          <w:pgMar w:top="1928" w:right="1134" w:bottom="1134" w:left="1134" w:header="1418" w:footer="1134" w:gutter="284"/>
          <w:pgNumType w:fmt="decimal"/>
          <w:cols w:space="425" w:num="1"/>
          <w:formProt w:val="0"/>
          <w:docGrid w:linePitch="312" w:charSpace="0"/>
        </w:sectPr>
      </w:pPr>
    </w:p>
    <w:p>
      <w:pPr>
        <w:pStyle w:val="198"/>
        <w:bidi w:val="0"/>
      </w:pPr>
    </w:p>
    <w:p>
      <w:pPr>
        <w:pStyle w:val="199"/>
        <w:bidi w:val="0"/>
      </w:pPr>
    </w:p>
    <w:p>
      <w:pPr>
        <w:pStyle w:val="76"/>
        <w:bidi w:val="0"/>
      </w:pPr>
      <w:bookmarkStart w:id="86" w:name="_Toc6113"/>
      <w:bookmarkStart w:id="87" w:name="_Toc15319"/>
      <w:r>
        <w:br w:type="textWrapping"/>
      </w:r>
      <w:r>
        <w:rPr>
          <w:rFonts w:hint="eastAsia"/>
          <w:lang w:eastAsia="zh-CN"/>
        </w:rPr>
        <w:t>（资料性）</w:t>
      </w:r>
      <w:r>
        <w:rPr>
          <w:rFonts w:hint="eastAsia"/>
          <w:lang w:eastAsia="zh-CN"/>
        </w:rPr>
        <w:br w:type="textWrapping"/>
      </w:r>
      <w:r>
        <w:rPr>
          <w:rFonts w:hint="eastAsia"/>
          <w:lang w:eastAsia="zh-CN"/>
        </w:rPr>
        <w:t>含硼水中锌浓度测定的参考离子色谱图</w:t>
      </w:r>
      <w:bookmarkEnd w:id="86"/>
      <w:bookmarkEnd w:id="87"/>
    </w:p>
    <w:p>
      <w:pPr>
        <w:pStyle w:val="78"/>
        <w:bidi w:val="0"/>
      </w:pPr>
      <w:bookmarkStart w:id="88" w:name="_Toc17578"/>
      <w:r>
        <w:rPr>
          <w:rFonts w:hint="eastAsia" w:ascii="黑体" w:hAnsi="黑体" w:eastAsia="黑体" w:cs="黑体"/>
          <w:kern w:val="0"/>
          <w:szCs w:val="21"/>
        </w:rPr>
        <w:t>含硼水中锌浓度的参考离子色谱图</w:t>
      </w:r>
      <w:bookmarkEnd w:id="88"/>
    </w:p>
    <w:p>
      <w:pPr>
        <w:ind w:firstLine="420" w:firstLineChars="200"/>
        <w:rPr>
          <w:rFonts w:hint="eastAsia" w:ascii="Times New Roman" w:hAnsi="Times New Roman" w:eastAsia="宋体" w:cs="Times New Roman"/>
          <w:kern w:val="0"/>
          <w:szCs w:val="21"/>
          <w:lang w:eastAsia="zh-CN"/>
        </w:rPr>
      </w:pPr>
      <w:r>
        <w:rPr>
          <w:rFonts w:hint="eastAsia"/>
        </w:rPr>
        <w:t>含硼水中锌浓度的参考离子色谱图见图</w:t>
      </w:r>
      <w:r>
        <w:rPr>
          <w:rFonts w:ascii="Times New Roman" w:hAnsi="Times New Roman" w:eastAsia="宋体" w:cs="Times New Roman"/>
          <w:kern w:val="0"/>
          <w:szCs w:val="21"/>
        </w:rPr>
        <w:t>B</w:t>
      </w:r>
      <w:r>
        <w:rPr>
          <w:rFonts w:ascii="Times New Roman" w:hAnsi="Times New Roman" w:eastAsia="宋体" w:cs="Times New Roman"/>
          <w:spacing w:val="-3"/>
          <w:kern w:val="0"/>
          <w:szCs w:val="21"/>
        </w:rPr>
        <w:t>.</w:t>
      </w:r>
      <w:r>
        <w:rPr>
          <w:rFonts w:ascii="Times New Roman" w:hAnsi="Times New Roman" w:eastAsia="宋体" w:cs="Times New Roman"/>
          <w:kern w:val="0"/>
          <w:szCs w:val="21"/>
        </w:rPr>
        <w:t>1</w:t>
      </w:r>
      <w:r>
        <w:rPr>
          <w:rFonts w:hint="eastAsia" w:ascii="Times New Roman" w:hAnsi="Times New Roman" w:eastAsia="宋体" w:cs="Times New Roman"/>
          <w:kern w:val="0"/>
          <w:szCs w:val="21"/>
          <w:lang w:eastAsia="zh-CN"/>
        </w:rPr>
        <w:t>。</w:t>
      </w:r>
    </w:p>
    <w:p>
      <w:pPr>
        <w:ind w:firstLine="420" w:firstLineChars="200"/>
        <w:rPr>
          <w:rFonts w:hint="eastAsia" w:ascii="Times New Roman" w:hAnsi="Times New Roman" w:eastAsia="宋体" w:cs="Times New Roman"/>
          <w:kern w:val="0"/>
          <w:szCs w:val="21"/>
          <w:lang w:eastAsia="zh-CN"/>
        </w:rPr>
      </w:pPr>
    </w:p>
    <w:p>
      <w:pPr>
        <w:pStyle w:val="56"/>
        <w:bidi w:val="0"/>
        <w:jc w:val="center"/>
      </w:pPr>
      <w:r>
        <w:drawing>
          <wp:inline distT="0" distB="0" distL="0" distR="0">
            <wp:extent cx="4324985" cy="2160270"/>
            <wp:effectExtent l="0" t="0" r="18415" b="1143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4"/>
                    <a:stretch>
                      <a:fillRect/>
                    </a:stretch>
                  </pic:blipFill>
                  <pic:spPr>
                    <a:xfrm>
                      <a:off x="0" y="0"/>
                      <a:ext cx="4324985" cy="2160270"/>
                    </a:xfrm>
                    <a:prstGeom prst="rect">
                      <a:avLst/>
                    </a:prstGeom>
                    <a:noFill/>
                    <a:ln>
                      <a:noFill/>
                    </a:ln>
                  </pic:spPr>
                </pic:pic>
              </a:graphicData>
            </a:graphic>
          </wp:inline>
        </w:drawing>
      </w:r>
    </w:p>
    <w:p>
      <w:pPr>
        <w:pStyle w:val="83"/>
        <w:bidi w:val="0"/>
      </w:pPr>
      <w:r>
        <w:rPr>
          <w:rFonts w:hint="eastAsia"/>
          <w:lang w:val="en-US" w:eastAsia="zh-CN"/>
        </w:rPr>
        <w:t>含硼水中锌浓度的参考离子色谱图</w:t>
      </w:r>
    </w:p>
    <w:bookmarkEnd w:id="82"/>
    <w:p>
      <w:pPr>
        <w:pStyle w:val="56"/>
        <w:bidi w:val="0"/>
        <w:jc w:val="center"/>
        <w:sectPr>
          <w:pgSz w:w="11906" w:h="16838"/>
          <w:pgMar w:top="1928" w:right="1134" w:bottom="1134" w:left="1134" w:header="1418" w:footer="1134" w:gutter="284"/>
          <w:pgNumType w:fmt="decimal"/>
          <w:cols w:space="425" w:num="1"/>
          <w:formProt w:val="0"/>
          <w:docGrid w:linePitch="312" w:charSpace="0"/>
        </w:sectPr>
      </w:pPr>
      <w:bookmarkStart w:id="89" w:name="BookMark6"/>
    </w:p>
    <w:p>
      <w:pPr>
        <w:pStyle w:val="63"/>
        <w:bidi w:val="0"/>
        <w:rPr>
          <w:rFonts w:hint="eastAsia"/>
          <w:lang w:eastAsia="zh-CN"/>
        </w:rPr>
      </w:pPr>
      <w:bookmarkStart w:id="90" w:name="_Toc24129"/>
      <w:bookmarkStart w:id="91" w:name="_Toc30194"/>
      <w:r>
        <w:rPr>
          <w:rFonts w:hint="eastAsia"/>
          <w:spacing w:val="105"/>
          <w:lang w:eastAsia="zh-CN"/>
        </w:rPr>
        <w:t>参考文</w:t>
      </w:r>
      <w:r>
        <w:rPr>
          <w:rFonts w:hint="eastAsia"/>
          <w:lang w:eastAsia="zh-CN"/>
        </w:rPr>
        <w:t>献</w:t>
      </w:r>
      <w:bookmarkEnd w:id="90"/>
      <w:bookmarkEnd w:id="91"/>
    </w:p>
    <w:p>
      <w:pPr>
        <w:pStyle w:val="56"/>
        <w:bidi w:val="0"/>
        <w:rPr>
          <w:rFonts w:hint="eastAsia"/>
          <w:lang w:eastAsia="zh-CN"/>
        </w:rPr>
      </w:pPr>
    </w:p>
    <w:p>
      <w:pPr>
        <w:pStyle w:val="56"/>
        <w:bidi w:val="0"/>
        <w:rPr>
          <w:rFonts w:hint="eastAsia"/>
          <w:lang w:eastAsia="zh-CN"/>
        </w:rPr>
      </w:pPr>
    </w:p>
    <w:p>
      <w:pPr>
        <w:jc w:val="center"/>
        <w:rPr>
          <w:rFonts w:hint="eastAsia" w:ascii="宋体" w:hAnsi="宋体" w:eastAsia="宋体" w:cs="Times New Roman"/>
          <w:kern w:val="0"/>
          <w:szCs w:val="21"/>
        </w:rPr>
      </w:pPr>
      <w:r>
        <w:rPr>
          <w:rFonts w:hint="eastAsia" w:ascii="Calibri" w:hAnsi="Calibri" w:eastAsia="宋体" w:cs="Times New Roman"/>
          <w:kern w:val="0"/>
          <w:sz w:val="22"/>
        </w:rPr>
        <w:t>_</w:t>
      </w:r>
      <w:r>
        <w:rPr>
          <w:rFonts w:ascii="Calibri" w:hAnsi="Calibri" w:eastAsia="宋体" w:cs="Times New Roman"/>
          <w:kern w:val="0"/>
          <w:sz w:val="22"/>
        </w:rPr>
        <w:t>_______________________</w:t>
      </w:r>
    </w:p>
    <w:p>
      <w:pPr>
        <w:pStyle w:val="56"/>
        <w:bidi w:val="0"/>
        <w:rPr>
          <w:rFonts w:hint="eastAsia"/>
          <w:lang w:eastAsia="zh-CN"/>
        </w:rPr>
      </w:pPr>
    </w:p>
    <w:p>
      <w:pPr>
        <w:pStyle w:val="56"/>
        <w:bidi w:val="0"/>
        <w:jc w:val="center"/>
      </w:pPr>
    </w:p>
    <w:bookmarkEnd w:id="89"/>
    <w:p>
      <w:pPr>
        <w:pStyle w:val="56"/>
        <w:bidi w:val="0"/>
        <w:jc w:val="center"/>
      </w:pPr>
    </w:p>
    <w:p>
      <w:pPr>
        <w:pStyle w:val="56"/>
      </w:pPr>
    </w:p>
    <w:sectPr>
      <w:pgSz w:w="11906" w:h="16838"/>
      <w:pgMar w:top="1928" w:right="1134" w:bottom="1134" w:left="1134" w:header="1418" w:footer="1134" w:gutter="284"/>
      <w:pgNumType w:fmt="decimal"/>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0" w:hash="hQBm1lrK/1aOr7Z8EfJW4I63I6c=" w:salt="ViyxP+x47Le+jGVxiVJA1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3046C82"/>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5CC595C"/>
    <w:rsid w:val="13046C82"/>
    <w:rsid w:val="1E9D3BAA"/>
    <w:rsid w:val="29AE7AF9"/>
    <w:rsid w:val="3D0E2518"/>
    <w:rsid w:val="51B467F4"/>
    <w:rsid w:val="54015478"/>
    <w:rsid w:val="5DA043C1"/>
    <w:rsid w:val="69C456FA"/>
    <w:rsid w:val="6D202812"/>
    <w:rsid w:val="714A0E46"/>
    <w:rsid w:val="7F101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B3BEDB4F2724F9D81F4444A5CCE266D"/>
        <w:style w:val=""/>
        <w:category>
          <w:name w:val="常规"/>
          <w:gallery w:val="placeholder"/>
        </w:category>
        <w:types>
          <w:type w:val="bbPlcHdr"/>
        </w:types>
        <w:behaviors>
          <w:behavior w:val="content"/>
        </w:behaviors>
        <w:description w:val=""/>
        <w:guid w:val="{9A791DFB-56F6-4B85-997E-8EF3CEE1C2DA}"/>
      </w:docPartPr>
      <w:docPartBody>
        <w:p>
          <w:pPr>
            <w:pStyle w:val="5"/>
          </w:pPr>
          <w:r>
            <w:rPr>
              <w:rStyle w:val="4"/>
              <w:rFonts w:hint="eastAsia"/>
            </w:rPr>
            <w:t>单击或点击此处输入文字。</w:t>
          </w:r>
        </w:p>
      </w:docPartBody>
    </w:docPart>
    <w:docPart>
      <w:docPartPr>
        <w:name w:val="78956B8278AF41489B4C226600D2E8C4"/>
        <w:style w:val=""/>
        <w:category>
          <w:name w:val="常规"/>
          <w:gallery w:val="placeholder"/>
        </w:category>
        <w:types>
          <w:type w:val="bbPlcHdr"/>
        </w:types>
        <w:behaviors>
          <w:behavior w:val="content"/>
        </w:behaviors>
        <w:description w:val=""/>
        <w:guid w:val="{35D7B9DB-82B3-43EC-9478-2F4253E62990}"/>
      </w:docPartPr>
      <w:docPartBody>
        <w:p>
          <w:pPr>
            <w:pStyle w:val="6"/>
          </w:pPr>
          <w:r>
            <w:rPr>
              <w:rStyle w:val="4"/>
              <w:rFonts w:hint="eastAsia"/>
            </w:rPr>
            <w:t>选择一项。</w:t>
          </w:r>
        </w:p>
      </w:docPartBody>
    </w:docPart>
    <w:docPart>
      <w:docPartPr>
        <w:name w:val="DD487E154D8B46B1811108614A11313A"/>
        <w:style w:val=""/>
        <w:category>
          <w:name w:val="常规"/>
          <w:gallery w:val="placeholder"/>
        </w:category>
        <w:types>
          <w:type w:val="bbPlcHdr"/>
        </w:types>
        <w:behaviors>
          <w:behavior w:val="content"/>
        </w:behaviors>
        <w:description w:val=""/>
        <w:guid w:val="{BDA84726-025B-4CC9-AFA0-B8C5A34685AA}"/>
      </w:docPartPr>
      <w:docPartBody>
        <w:p>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0EA"/>
    <w:rsid w:val="005D70EA"/>
    <w:rsid w:val="006E2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9B3BEDB4F2724F9D81F4444A5CCE266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8956B8278AF41489B4C226600D2E8C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DD487E154D8B46B1811108614A11313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Pages>2</Pages>
  <Words>252</Words>
  <Characters>317</Characters>
  <Lines>4</Lines>
  <Paragraphs>1</Paragraphs>
  <TotalTime>15</TotalTime>
  <ScaleCrop>false</ScaleCrop>
  <LinksUpToDate>false</LinksUpToDate>
  <CharactersWithSpaces>331</CharactersWithSpaces>
  <Application>WPS Office_11.8.2.12119_F1E327BC-269C-435d-A152-05C5408002CA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2026-03-16T10:49:00Z</dcterms:created>
  <dc:creator>hxl01</dc:creator>
  <cp:lastModifiedBy>hxl01</cp:lastModifiedBy>
  <dcterms:modified xsi:type="dcterms:W3CDTF">2026-03-30T04:43:45Z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A2B7EA2E5AD943459C4CC7A63823C947</vt:lpwstr>
  </property>
  <property fmtid="{D5CDD505-2E9C-101B-9397-08002B2CF9AE}" pid="15" name="KSOProductBuildVer">
    <vt:lpwstr>2052-11.8.2.12119</vt:lpwstr>
  </property>
</Properties>
</file>